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7"/>
        <w:gridCol w:w="1129"/>
        <w:gridCol w:w="3910"/>
        <w:gridCol w:w="3114"/>
      </w:tblGrid>
      <w:tr w:rsidR="0066709D" w14:paraId="256C9D3E" w14:textId="77777777">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20" w:type="dxa"/>
              <w:bottom w:w="80" w:type="dxa"/>
              <w:right w:w="120" w:type="dxa"/>
            </w:tcMar>
          </w:tcPr>
          <w:p w14:paraId="256C9D3A" w14:textId="77777777" w:rsidR="0066709D" w:rsidRDefault="006A0A74">
            <w:r>
              <w:rPr>
                <w:b/>
                <w:bCs/>
                <w:color w:val="FFFFFF"/>
                <w:sz w:val="20"/>
                <w:szCs w:val="20"/>
              </w:rPr>
              <w:t>CHAPTER</w:t>
            </w:r>
          </w:p>
        </w:tc>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20" w:type="dxa"/>
              <w:bottom w:w="80" w:type="dxa"/>
              <w:right w:w="120" w:type="dxa"/>
            </w:tcMar>
          </w:tcPr>
          <w:p w14:paraId="256C9D3B" w14:textId="77777777" w:rsidR="0066709D" w:rsidRDefault="006A0A74">
            <w:r>
              <w:rPr>
                <w:b/>
                <w:bCs/>
                <w:color w:val="FFFFFF"/>
                <w:sz w:val="20"/>
                <w:szCs w:val="20"/>
              </w:rPr>
              <w:t>SECTION</w:t>
            </w:r>
          </w:p>
        </w:tc>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20" w:type="dxa"/>
              <w:bottom w:w="80" w:type="dxa"/>
              <w:right w:w="120" w:type="dxa"/>
            </w:tcMar>
          </w:tcPr>
          <w:p w14:paraId="256C9D3C" w14:textId="77777777" w:rsidR="0066709D" w:rsidRDefault="006A0A74">
            <w:r>
              <w:rPr>
                <w:b/>
                <w:bCs/>
                <w:color w:val="FFFFFF"/>
                <w:sz w:val="20"/>
                <w:szCs w:val="20"/>
              </w:rPr>
              <w:t>TITLE</w:t>
            </w:r>
          </w:p>
        </w:tc>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20" w:type="dxa"/>
              <w:bottom w:w="80" w:type="dxa"/>
              <w:right w:w="120" w:type="dxa"/>
            </w:tcMar>
          </w:tcPr>
          <w:p w14:paraId="256C9D3D" w14:textId="77777777" w:rsidR="0066709D" w:rsidRDefault="006A0A74">
            <w:r>
              <w:rPr>
                <w:b/>
                <w:bCs/>
                <w:color w:val="FFFFFF"/>
                <w:sz w:val="20"/>
                <w:szCs w:val="20"/>
              </w:rPr>
              <w:t>HISTORY</w:t>
            </w:r>
          </w:p>
        </w:tc>
      </w:tr>
      <w:tr w:rsidR="0066709D" w14:paraId="256C9D47" w14:textId="77777777">
        <w:tc>
          <w:tcPr>
            <w:tcW w:w="0" w:type="auto"/>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14:paraId="256C9D3F" w14:textId="77777777" w:rsidR="0066709D" w:rsidRDefault="006A0A74">
            <w:r>
              <w:rPr>
                <w:b/>
                <w:bCs/>
                <w:color w:val="1F4E79"/>
                <w:sz w:val="36"/>
                <w:szCs w:val="36"/>
              </w:rPr>
              <w:t>3</w:t>
            </w:r>
          </w:p>
        </w:tc>
        <w:tc>
          <w:tcPr>
            <w:tcW w:w="0" w:type="auto"/>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14:paraId="256C9D40" w14:textId="5F381ACD" w:rsidR="0066709D" w:rsidRDefault="006A0A74">
            <w:r>
              <w:rPr>
                <w:b/>
                <w:bCs/>
                <w:color w:val="1F4E79"/>
                <w:sz w:val="36"/>
                <w:szCs w:val="36"/>
              </w:rPr>
              <w:t>3</w:t>
            </w:r>
            <w:r w:rsidR="000F56A4">
              <w:rPr>
                <w:b/>
                <w:bCs/>
                <w:color w:val="1F4E79"/>
                <w:sz w:val="36"/>
                <w:szCs w:val="36"/>
              </w:rPr>
              <w:t>7</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256C9D41" w14:textId="77777777" w:rsidR="0066709D" w:rsidRDefault="006A0A74">
            <w:pPr>
              <w:spacing w:after="40"/>
            </w:pPr>
            <w:r>
              <w:rPr>
                <w:b/>
                <w:bCs/>
                <w:color w:val="1F4E79"/>
                <w:sz w:val="26"/>
                <w:szCs w:val="26"/>
              </w:rPr>
              <w:t>USE OF ARTIFICIAL INTELLIGENCE</w:t>
            </w:r>
          </w:p>
          <w:p w14:paraId="256C9D42" w14:textId="77777777" w:rsidR="0066709D" w:rsidRDefault="006A0A74">
            <w:r>
              <w:rPr>
                <w:i/>
                <w:iCs/>
                <w:color w:val="666666"/>
                <w:sz w:val="18"/>
                <w:szCs w:val="18"/>
              </w:rPr>
              <w:t>Applies to: All faculty, staff, administrators, and students</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56C9D43" w14:textId="77777777" w:rsidR="0066709D" w:rsidRDefault="006A0A74">
            <w:pPr>
              <w:spacing w:after="20"/>
            </w:pPr>
            <w:r>
              <w:rPr>
                <w:b/>
                <w:bCs/>
                <w:sz w:val="19"/>
                <w:szCs w:val="19"/>
              </w:rPr>
              <w:t xml:space="preserve">Adopted:  </w:t>
            </w:r>
            <w:r>
              <w:rPr>
                <w:sz w:val="19"/>
                <w:szCs w:val="19"/>
              </w:rPr>
              <w:t>TBD</w:t>
            </w:r>
          </w:p>
          <w:p w14:paraId="256C9D44" w14:textId="77777777" w:rsidR="0066709D" w:rsidRDefault="006A0A74">
            <w:pPr>
              <w:spacing w:after="20"/>
            </w:pPr>
            <w:r>
              <w:rPr>
                <w:b/>
                <w:bCs/>
                <w:sz w:val="19"/>
                <w:szCs w:val="19"/>
              </w:rPr>
              <w:t xml:space="preserve">Revised:  </w:t>
            </w:r>
            <w:r>
              <w:rPr>
                <w:sz w:val="19"/>
                <w:szCs w:val="19"/>
              </w:rPr>
              <w:t>TBD</w:t>
            </w:r>
          </w:p>
          <w:p w14:paraId="256C9D45" w14:textId="77777777" w:rsidR="0066709D" w:rsidRDefault="006A0A74">
            <w:pPr>
              <w:spacing w:after="20"/>
            </w:pPr>
            <w:r>
              <w:rPr>
                <w:b/>
                <w:bCs/>
                <w:sz w:val="19"/>
                <w:szCs w:val="19"/>
              </w:rPr>
              <w:t xml:space="preserve">Next Review:  </w:t>
            </w:r>
            <w:r>
              <w:rPr>
                <w:sz w:val="19"/>
                <w:szCs w:val="19"/>
              </w:rPr>
              <w:t>Annually</w:t>
            </w:r>
          </w:p>
          <w:p w14:paraId="256C9D46" w14:textId="77777777" w:rsidR="0066709D" w:rsidRDefault="006A0A74">
            <w:r>
              <w:rPr>
                <w:b/>
                <w:bCs/>
                <w:sz w:val="19"/>
                <w:szCs w:val="19"/>
              </w:rPr>
              <w:t xml:space="preserve">Governance:  </w:t>
            </w:r>
            <w:r>
              <w:rPr>
                <w:sz w:val="19"/>
                <w:szCs w:val="19"/>
              </w:rPr>
              <w:t>Shared governance process</w:t>
            </w:r>
          </w:p>
        </w:tc>
      </w:tr>
    </w:tbl>
    <w:p w14:paraId="256C9D48" w14:textId="77777777" w:rsidR="0066709D" w:rsidRDefault="0066709D">
      <w:pPr>
        <w:spacing w:before="20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6709D" w14:paraId="256C9D4A" w14:textId="77777777">
        <w:tc>
          <w:tcPr>
            <w:tcW w:w="0" w:type="auto"/>
            <w:tcBorders>
              <w:top w:val="none" w:sz="0" w:space="0" w:color="FFFFFF"/>
              <w:left w:val="none" w:sz="0" w:space="0" w:color="FFFFFF"/>
              <w:bottom w:val="none" w:sz="0" w:space="0" w:color="FFFFFF"/>
              <w:right w:val="none" w:sz="0" w:space="0" w:color="FFFFFF"/>
            </w:tcBorders>
            <w:shd w:val="clear" w:color="auto" w:fill="2E75B6"/>
            <w:tcMar>
              <w:top w:w="80" w:type="dxa"/>
              <w:left w:w="160" w:type="dxa"/>
              <w:bottom w:w="80" w:type="dxa"/>
              <w:right w:w="160" w:type="dxa"/>
            </w:tcMar>
          </w:tcPr>
          <w:p w14:paraId="256C9D49" w14:textId="77777777" w:rsidR="0066709D" w:rsidRDefault="006A0A74">
            <w:r>
              <w:rPr>
                <w:b/>
                <w:bCs/>
                <w:color w:val="FFFFFF"/>
                <w:sz w:val="24"/>
                <w:szCs w:val="24"/>
              </w:rPr>
              <w:t>POLICY</w:t>
            </w:r>
          </w:p>
        </w:tc>
      </w:tr>
    </w:tbl>
    <w:p w14:paraId="256C9D4B" w14:textId="77777777" w:rsidR="0066709D" w:rsidRDefault="0066709D">
      <w:pPr>
        <w:spacing w:before="80" w:after="40"/>
      </w:pPr>
    </w:p>
    <w:p w14:paraId="256C9D4C" w14:textId="77777777" w:rsidR="0066709D" w:rsidRDefault="006A0A74">
      <w:pPr>
        <w:spacing w:before="80" w:after="100"/>
      </w:pPr>
      <w:r>
        <w:t>It is the policy of Clover Park Technical College that artificial intelligence (AI) tools may be used by all faculty, staff, administrators, and students to support institutional work, advance student success, and enhance operational effectiveness. The College’s obligation is to ensure that AI use does not compromise the privacy of students and employees, expose the institution to legal liability, or violate applicable law. AI use is encouraged where it adds value; this policy governs how that use is carried out responsibly.</w:t>
      </w:r>
    </w:p>
    <w:p w14:paraId="256C9D4D" w14:textId="77777777" w:rsidR="0066709D" w:rsidRDefault="0066709D">
      <w:pPr>
        <w:spacing w:before="60" w:after="40"/>
      </w:pPr>
    </w:p>
    <w:p w14:paraId="256C9D4E" w14:textId="77777777" w:rsidR="0066709D" w:rsidRDefault="006A0A74">
      <w:pPr>
        <w:spacing w:before="80" w:after="100"/>
      </w:pPr>
      <w:r>
        <w:t>All use of AI tools involving institutional data must comply with Washington State OCIO Standard 141.10 data classification requirements, as adopted by the State Board for Community and Technical Colleges (SBCTC). The core requirement is that the sensitivity of the data determines the appropriate tool. Category 1 (public) data may be used with any tool. Category 3 and Category 4 (confidential) data may only be used with CPTC-designated enterprise-licensed platforms that have executed Data Processing Agreements with the College. Category 2 (sensitive) data falls between these thresholds, with enterprise platforms preferred.</w:t>
      </w:r>
    </w:p>
    <w:p w14:paraId="256C9D4F" w14:textId="77777777" w:rsidR="0066709D" w:rsidRDefault="0066709D">
      <w:pPr>
        <w:spacing w:before="60" w:after="40"/>
      </w:pPr>
    </w:p>
    <w:p w14:paraId="256C9D50" w14:textId="77777777" w:rsidR="0066709D" w:rsidRDefault="006A0A74">
      <w:pPr>
        <w:spacing w:before="80" w:after="100"/>
      </w:pPr>
      <w:r>
        <w:t>This policy applies to all faculty, staff, administrators, and students when using AI tools in connection with CPTC institutional responsibilities, college operations, or institutional data, regardless of whether a college-issued or personal device is used. For the use of AI in teaching, learning, and academic work specifically, see also Policy 4.19 Generative AI in Instruction.</w:t>
      </w:r>
    </w:p>
    <w:p w14:paraId="256C9D53" w14:textId="77777777" w:rsidR="0066709D" w:rsidRDefault="0066709D">
      <w:pPr>
        <w:spacing w:before="20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66709D" w14:paraId="256C9D55" w14:textId="77777777">
        <w:tc>
          <w:tcPr>
            <w:tcW w:w="0" w:type="auto"/>
            <w:tcBorders>
              <w:top w:val="none" w:sz="0" w:space="0" w:color="FFFFFF"/>
              <w:left w:val="none" w:sz="0" w:space="0" w:color="FFFFFF"/>
              <w:bottom w:val="none" w:sz="0" w:space="0" w:color="FFFFFF"/>
              <w:right w:val="none" w:sz="0" w:space="0" w:color="FFFFFF"/>
            </w:tcBorders>
            <w:shd w:val="clear" w:color="auto" w:fill="2E75B6"/>
            <w:tcMar>
              <w:top w:w="80" w:type="dxa"/>
              <w:left w:w="160" w:type="dxa"/>
              <w:bottom w:w="80" w:type="dxa"/>
              <w:right w:w="160" w:type="dxa"/>
            </w:tcMar>
          </w:tcPr>
          <w:p w14:paraId="256C9D54" w14:textId="77777777" w:rsidR="0066709D" w:rsidRDefault="006A0A74">
            <w:r>
              <w:rPr>
                <w:b/>
                <w:bCs/>
                <w:color w:val="FFFFFF"/>
                <w:sz w:val="24"/>
                <w:szCs w:val="24"/>
              </w:rPr>
              <w:t>PROCEDURE</w:t>
            </w:r>
          </w:p>
        </w:tc>
      </w:tr>
    </w:tbl>
    <w:p w14:paraId="256C9D56" w14:textId="77777777" w:rsidR="0066709D" w:rsidRDefault="0066709D">
      <w:pPr>
        <w:spacing w:before="80" w:after="40"/>
      </w:pPr>
    </w:p>
    <w:p w14:paraId="256C9D57" w14:textId="77777777" w:rsidR="0066709D" w:rsidRDefault="006A0A74">
      <w:pPr>
        <w:spacing w:before="160" w:after="60"/>
      </w:pPr>
      <w:r>
        <w:rPr>
          <w:b/>
          <w:bCs/>
          <w:color w:val="1F4E79"/>
          <w:sz w:val="22"/>
          <w:szCs w:val="22"/>
        </w:rPr>
        <w:t>Data Classification and Permitted Tools</w:t>
      </w:r>
    </w:p>
    <w:p w14:paraId="256C9D58" w14:textId="77777777" w:rsidR="0066709D" w:rsidRDefault="006A0A74">
      <w:pPr>
        <w:spacing w:before="80" w:after="100"/>
      </w:pPr>
      <w:r>
        <w:t>Before using any AI tool with institutional data, all users must identify the classification level of that data. When the classification of specific data is unclear, treat it as Category 3 until confirmed otherwise by IT or a supervisor.</w:t>
      </w:r>
    </w:p>
    <w:p w14:paraId="256C9D59" w14:textId="77777777" w:rsidR="0066709D" w:rsidRDefault="0066709D">
      <w:pPr>
        <w:spacing w:before="60" w:after="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39"/>
        <w:gridCol w:w="3128"/>
        <w:gridCol w:w="2399"/>
        <w:gridCol w:w="2294"/>
      </w:tblGrid>
      <w:tr w:rsidR="0066709D" w14:paraId="256C9D5E" w14:textId="77777777">
        <w:trPr>
          <w:tblHeader/>
        </w:trPr>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00" w:type="dxa"/>
              <w:bottom w:w="80" w:type="dxa"/>
              <w:right w:w="100" w:type="dxa"/>
            </w:tcMar>
          </w:tcPr>
          <w:p w14:paraId="256C9D5A" w14:textId="77777777" w:rsidR="0066709D" w:rsidRDefault="006A0A74">
            <w:r>
              <w:rPr>
                <w:b/>
                <w:bCs/>
                <w:color w:val="FFFFFF"/>
                <w:sz w:val="19"/>
                <w:szCs w:val="19"/>
              </w:rPr>
              <w:t>Category</w:t>
            </w:r>
          </w:p>
        </w:tc>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00" w:type="dxa"/>
              <w:bottom w:w="80" w:type="dxa"/>
              <w:right w:w="100" w:type="dxa"/>
            </w:tcMar>
          </w:tcPr>
          <w:p w14:paraId="256C9D5B" w14:textId="77777777" w:rsidR="0066709D" w:rsidRDefault="006A0A74">
            <w:r>
              <w:rPr>
                <w:b/>
                <w:bCs/>
                <w:color w:val="FFFFFF"/>
                <w:sz w:val="19"/>
                <w:szCs w:val="19"/>
              </w:rPr>
              <w:t>CPTC Examples</w:t>
            </w:r>
          </w:p>
        </w:tc>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00" w:type="dxa"/>
              <w:bottom w:w="80" w:type="dxa"/>
              <w:right w:w="100" w:type="dxa"/>
            </w:tcMar>
          </w:tcPr>
          <w:p w14:paraId="256C9D5C" w14:textId="77777777" w:rsidR="0066709D" w:rsidRDefault="006A0A74">
            <w:r>
              <w:rPr>
                <w:b/>
                <w:bCs/>
                <w:color w:val="FFFFFF"/>
                <w:sz w:val="19"/>
                <w:szCs w:val="19"/>
              </w:rPr>
              <w:t>Classification</w:t>
            </w:r>
          </w:p>
        </w:tc>
        <w:tc>
          <w:tcPr>
            <w:tcW w:w="0" w:type="auto"/>
            <w:tcBorders>
              <w:top w:val="single" w:sz="4" w:space="0" w:color="CCCCCC"/>
              <w:left w:val="single" w:sz="4" w:space="0" w:color="CCCCCC"/>
              <w:bottom w:val="single" w:sz="4" w:space="0" w:color="CCCCCC"/>
              <w:right w:val="single" w:sz="4" w:space="0" w:color="CCCCCC"/>
            </w:tcBorders>
            <w:shd w:val="clear" w:color="auto" w:fill="1F4E79"/>
            <w:tcMar>
              <w:top w:w="80" w:type="dxa"/>
              <w:left w:w="100" w:type="dxa"/>
              <w:bottom w:w="80" w:type="dxa"/>
              <w:right w:w="100" w:type="dxa"/>
            </w:tcMar>
          </w:tcPr>
          <w:p w14:paraId="256C9D5D" w14:textId="77777777" w:rsidR="0066709D" w:rsidRDefault="006A0A74">
            <w:r>
              <w:rPr>
                <w:b/>
                <w:bCs/>
                <w:color w:val="FFFFFF"/>
                <w:sz w:val="19"/>
                <w:szCs w:val="19"/>
              </w:rPr>
              <w:t>Permitted AI Tools</w:t>
            </w:r>
          </w:p>
        </w:tc>
      </w:tr>
      <w:tr w:rsidR="0066709D" w14:paraId="256C9D63" w14:textId="77777777">
        <w:tc>
          <w:tcPr>
            <w:tcW w:w="0" w:type="auto"/>
            <w:tcBorders>
              <w:top w:val="single" w:sz="4" w:space="0" w:color="CCCCCC"/>
              <w:left w:val="single" w:sz="4" w:space="0" w:color="CCCCCC"/>
              <w:bottom w:val="single" w:sz="4" w:space="0" w:color="CCCCCC"/>
              <w:right w:val="single" w:sz="4" w:space="0" w:color="CCCCCC"/>
            </w:tcBorders>
            <w:shd w:val="clear" w:color="auto" w:fill="E8F5E9"/>
            <w:tcMar>
              <w:top w:w="80" w:type="dxa"/>
              <w:left w:w="100" w:type="dxa"/>
              <w:bottom w:w="80" w:type="dxa"/>
              <w:right w:w="100" w:type="dxa"/>
            </w:tcMar>
          </w:tcPr>
          <w:p w14:paraId="256C9D5F" w14:textId="77777777" w:rsidR="0066709D" w:rsidRDefault="006A0A74">
            <w:r>
              <w:rPr>
                <w:b/>
                <w:bCs/>
                <w:sz w:val="19"/>
                <w:szCs w:val="19"/>
              </w:rPr>
              <w:t>Category 1 Public Information</w:t>
            </w:r>
          </w:p>
        </w:tc>
        <w:tc>
          <w:tcPr>
            <w:tcW w:w="0" w:type="auto"/>
            <w:tcBorders>
              <w:top w:val="single" w:sz="4" w:space="0" w:color="CCCCCC"/>
              <w:left w:val="single" w:sz="4" w:space="0" w:color="CCCCCC"/>
              <w:bottom w:val="single" w:sz="4" w:space="0" w:color="CCCCCC"/>
              <w:right w:val="single" w:sz="4" w:space="0" w:color="CCCCCC"/>
            </w:tcBorders>
            <w:shd w:val="clear" w:color="auto" w:fill="E8F5E9"/>
            <w:tcMar>
              <w:top w:w="80" w:type="dxa"/>
              <w:left w:w="100" w:type="dxa"/>
              <w:bottom w:w="80" w:type="dxa"/>
              <w:right w:w="100" w:type="dxa"/>
            </w:tcMar>
          </w:tcPr>
          <w:p w14:paraId="256C9D60" w14:textId="77777777" w:rsidR="0066709D" w:rsidRDefault="006A0A74">
            <w:r>
              <w:rPr>
                <w:sz w:val="19"/>
                <w:szCs w:val="19"/>
              </w:rPr>
              <w:t>Published program information, marketing content, public schedules, website content, general curriculum descriptions</w:t>
            </w:r>
          </w:p>
        </w:tc>
        <w:tc>
          <w:tcPr>
            <w:tcW w:w="0" w:type="auto"/>
            <w:tcBorders>
              <w:top w:val="single" w:sz="4" w:space="0" w:color="CCCCCC"/>
              <w:left w:val="single" w:sz="4" w:space="0" w:color="CCCCCC"/>
              <w:bottom w:val="single" w:sz="4" w:space="0" w:color="CCCCCC"/>
              <w:right w:val="single" w:sz="4" w:space="0" w:color="CCCCCC"/>
            </w:tcBorders>
            <w:shd w:val="clear" w:color="auto" w:fill="E8F5E9"/>
            <w:tcMar>
              <w:top w:w="80" w:type="dxa"/>
              <w:left w:w="100" w:type="dxa"/>
              <w:bottom w:w="80" w:type="dxa"/>
              <w:right w:w="100" w:type="dxa"/>
            </w:tcMar>
          </w:tcPr>
          <w:p w14:paraId="256C9D61" w14:textId="77777777" w:rsidR="0066709D" w:rsidRDefault="006A0A74">
            <w:r>
              <w:rPr>
                <w:sz w:val="19"/>
                <w:szCs w:val="19"/>
              </w:rPr>
              <w:t>Information that can be or currently is released to the public.</w:t>
            </w:r>
          </w:p>
        </w:tc>
        <w:tc>
          <w:tcPr>
            <w:tcW w:w="0" w:type="auto"/>
            <w:tcBorders>
              <w:top w:val="single" w:sz="4" w:space="0" w:color="CCCCCC"/>
              <w:left w:val="single" w:sz="4" w:space="0" w:color="CCCCCC"/>
              <w:bottom w:val="single" w:sz="4" w:space="0" w:color="CCCCCC"/>
              <w:right w:val="single" w:sz="4" w:space="0" w:color="CCCCCC"/>
            </w:tcBorders>
            <w:shd w:val="clear" w:color="auto" w:fill="E8F5E9"/>
            <w:tcMar>
              <w:top w:w="80" w:type="dxa"/>
              <w:left w:w="100" w:type="dxa"/>
              <w:bottom w:w="80" w:type="dxa"/>
              <w:right w:w="100" w:type="dxa"/>
            </w:tcMar>
          </w:tcPr>
          <w:p w14:paraId="256C9D62" w14:textId="77777777" w:rsidR="0066709D" w:rsidRDefault="006A0A74">
            <w:r>
              <w:rPr>
                <w:sz w:val="19"/>
                <w:szCs w:val="19"/>
              </w:rPr>
              <w:t>Any tool — including individually licensed or consumer-tier AI. No restriction.</w:t>
            </w:r>
          </w:p>
        </w:tc>
      </w:tr>
      <w:tr w:rsidR="0066709D" w14:paraId="256C9D68" w14:textId="77777777">
        <w:tc>
          <w:tcPr>
            <w:tcW w:w="0" w:type="auto"/>
            <w:tcBorders>
              <w:top w:val="single" w:sz="4" w:space="0" w:color="CCCCCC"/>
              <w:left w:val="single" w:sz="4" w:space="0" w:color="CCCCCC"/>
              <w:bottom w:val="single" w:sz="4" w:space="0" w:color="CCCCCC"/>
              <w:right w:val="single" w:sz="4" w:space="0" w:color="CCCCCC"/>
            </w:tcBorders>
            <w:shd w:val="clear" w:color="auto" w:fill="FFF9C4"/>
            <w:tcMar>
              <w:top w:w="80" w:type="dxa"/>
              <w:left w:w="100" w:type="dxa"/>
              <w:bottom w:w="80" w:type="dxa"/>
              <w:right w:w="100" w:type="dxa"/>
            </w:tcMar>
          </w:tcPr>
          <w:p w14:paraId="256C9D64" w14:textId="77777777" w:rsidR="0066709D" w:rsidRDefault="006A0A74">
            <w:r>
              <w:rPr>
                <w:b/>
                <w:bCs/>
                <w:sz w:val="19"/>
                <w:szCs w:val="19"/>
              </w:rPr>
              <w:t>Category 2 Sensitive Information</w:t>
            </w:r>
          </w:p>
        </w:tc>
        <w:tc>
          <w:tcPr>
            <w:tcW w:w="0" w:type="auto"/>
            <w:tcBorders>
              <w:top w:val="single" w:sz="4" w:space="0" w:color="CCCCCC"/>
              <w:left w:val="single" w:sz="4" w:space="0" w:color="CCCCCC"/>
              <w:bottom w:val="single" w:sz="4" w:space="0" w:color="CCCCCC"/>
              <w:right w:val="single" w:sz="4" w:space="0" w:color="CCCCCC"/>
            </w:tcBorders>
            <w:shd w:val="clear" w:color="auto" w:fill="FFF9C4"/>
            <w:tcMar>
              <w:top w:w="80" w:type="dxa"/>
              <w:left w:w="100" w:type="dxa"/>
              <w:bottom w:w="80" w:type="dxa"/>
              <w:right w:w="100" w:type="dxa"/>
            </w:tcMar>
          </w:tcPr>
          <w:p w14:paraId="256C9D65" w14:textId="77777777" w:rsidR="0066709D" w:rsidRDefault="006A0A74">
            <w:r>
              <w:rPr>
                <w:sz w:val="19"/>
                <w:szCs w:val="19"/>
              </w:rPr>
              <w:t>Draft strategic plans, internal policy drafts, accreditation materials, pre-decisional budget, board materials, general workforce partner communications, program review documents</w:t>
            </w:r>
          </w:p>
        </w:tc>
        <w:tc>
          <w:tcPr>
            <w:tcW w:w="0" w:type="auto"/>
            <w:tcBorders>
              <w:top w:val="single" w:sz="4" w:space="0" w:color="CCCCCC"/>
              <w:left w:val="single" w:sz="4" w:space="0" w:color="CCCCCC"/>
              <w:bottom w:val="single" w:sz="4" w:space="0" w:color="CCCCCC"/>
              <w:right w:val="single" w:sz="4" w:space="0" w:color="CCCCCC"/>
            </w:tcBorders>
            <w:shd w:val="clear" w:color="auto" w:fill="FFF9C4"/>
            <w:tcMar>
              <w:top w:w="80" w:type="dxa"/>
              <w:left w:w="100" w:type="dxa"/>
              <w:bottom w:w="80" w:type="dxa"/>
              <w:right w:w="100" w:type="dxa"/>
            </w:tcMar>
          </w:tcPr>
          <w:p w14:paraId="256C9D66" w14:textId="77777777" w:rsidR="0066709D" w:rsidRDefault="006A0A74">
            <w:r>
              <w:rPr>
                <w:sz w:val="19"/>
                <w:szCs w:val="19"/>
              </w:rPr>
              <w:t xml:space="preserve">Not specifically protected by law; for official use only. </w:t>
            </w:r>
            <w:proofErr w:type="gramStart"/>
            <w:r>
              <w:rPr>
                <w:sz w:val="19"/>
                <w:szCs w:val="19"/>
              </w:rPr>
              <w:t>Generally</w:t>
            </w:r>
            <w:proofErr w:type="gramEnd"/>
            <w:r>
              <w:rPr>
                <w:sz w:val="19"/>
                <w:szCs w:val="19"/>
              </w:rPr>
              <w:t xml:space="preserve"> not released publicly unless requested.</w:t>
            </w:r>
          </w:p>
        </w:tc>
        <w:tc>
          <w:tcPr>
            <w:tcW w:w="0" w:type="auto"/>
            <w:tcBorders>
              <w:top w:val="single" w:sz="4" w:space="0" w:color="CCCCCC"/>
              <w:left w:val="single" w:sz="4" w:space="0" w:color="CCCCCC"/>
              <w:bottom w:val="single" w:sz="4" w:space="0" w:color="CCCCCC"/>
              <w:right w:val="single" w:sz="4" w:space="0" w:color="CCCCCC"/>
            </w:tcBorders>
            <w:shd w:val="clear" w:color="auto" w:fill="FFF9C4"/>
            <w:tcMar>
              <w:top w:w="80" w:type="dxa"/>
              <w:left w:w="100" w:type="dxa"/>
              <w:bottom w:w="80" w:type="dxa"/>
              <w:right w:w="100" w:type="dxa"/>
            </w:tcMar>
          </w:tcPr>
          <w:p w14:paraId="256C9D67" w14:textId="77777777" w:rsidR="0066709D" w:rsidRDefault="006A0A74">
            <w:r>
              <w:rPr>
                <w:sz w:val="19"/>
                <w:szCs w:val="19"/>
              </w:rPr>
              <w:t>Enterprise platforms preferred. Individually licensed tools permissible where no partner-confidential or legally protected content is involved.</w:t>
            </w:r>
          </w:p>
        </w:tc>
      </w:tr>
      <w:tr w:rsidR="0066709D" w14:paraId="256C9D6D" w14:textId="77777777">
        <w:tc>
          <w:tcPr>
            <w:tcW w:w="0" w:type="auto"/>
            <w:tcBorders>
              <w:top w:val="single" w:sz="4" w:space="0" w:color="CCCCCC"/>
              <w:left w:val="single" w:sz="4" w:space="0" w:color="CCCCCC"/>
              <w:bottom w:val="single" w:sz="4" w:space="0" w:color="CCCCCC"/>
              <w:right w:val="single" w:sz="4" w:space="0" w:color="CCCCCC"/>
            </w:tcBorders>
            <w:shd w:val="clear" w:color="auto" w:fill="FFE0B2"/>
            <w:tcMar>
              <w:top w:w="80" w:type="dxa"/>
              <w:left w:w="100" w:type="dxa"/>
              <w:bottom w:w="80" w:type="dxa"/>
              <w:right w:w="100" w:type="dxa"/>
            </w:tcMar>
          </w:tcPr>
          <w:p w14:paraId="256C9D69" w14:textId="77777777" w:rsidR="0066709D" w:rsidRDefault="006A0A74">
            <w:r>
              <w:rPr>
                <w:b/>
                <w:bCs/>
                <w:sz w:val="19"/>
                <w:szCs w:val="19"/>
              </w:rPr>
              <w:lastRenderedPageBreak/>
              <w:t>Category 3 Confidential Information</w:t>
            </w:r>
          </w:p>
        </w:tc>
        <w:tc>
          <w:tcPr>
            <w:tcW w:w="0" w:type="auto"/>
            <w:tcBorders>
              <w:top w:val="single" w:sz="4" w:space="0" w:color="CCCCCC"/>
              <w:left w:val="single" w:sz="4" w:space="0" w:color="CCCCCC"/>
              <w:bottom w:val="single" w:sz="4" w:space="0" w:color="CCCCCC"/>
              <w:right w:val="single" w:sz="4" w:space="0" w:color="CCCCCC"/>
            </w:tcBorders>
            <w:shd w:val="clear" w:color="auto" w:fill="FFE0B2"/>
            <w:tcMar>
              <w:top w:w="80" w:type="dxa"/>
              <w:left w:w="100" w:type="dxa"/>
              <w:bottom w:w="80" w:type="dxa"/>
              <w:right w:w="100" w:type="dxa"/>
            </w:tcMar>
          </w:tcPr>
          <w:p w14:paraId="256C9D6A" w14:textId="77777777" w:rsidR="0066709D" w:rsidRDefault="006A0A74">
            <w:r>
              <w:rPr>
                <w:sz w:val="19"/>
                <w:szCs w:val="19"/>
              </w:rPr>
              <w:t>Student records, grades, transcripts, financial aid, disability accommodations, disciplinary records, employee HR records, salary data, performance evaluations, employer partner data under confidentiality contract</w:t>
            </w:r>
          </w:p>
        </w:tc>
        <w:tc>
          <w:tcPr>
            <w:tcW w:w="0" w:type="auto"/>
            <w:tcBorders>
              <w:top w:val="single" w:sz="4" w:space="0" w:color="CCCCCC"/>
              <w:left w:val="single" w:sz="4" w:space="0" w:color="CCCCCC"/>
              <w:bottom w:val="single" w:sz="4" w:space="0" w:color="CCCCCC"/>
              <w:right w:val="single" w:sz="4" w:space="0" w:color="CCCCCC"/>
            </w:tcBorders>
            <w:shd w:val="clear" w:color="auto" w:fill="FFE0B2"/>
            <w:tcMar>
              <w:top w:w="80" w:type="dxa"/>
              <w:left w:w="100" w:type="dxa"/>
              <w:bottom w:w="80" w:type="dxa"/>
              <w:right w:w="100" w:type="dxa"/>
            </w:tcMar>
          </w:tcPr>
          <w:p w14:paraId="256C9D6B" w14:textId="77777777" w:rsidR="0066709D" w:rsidRDefault="006A0A74">
            <w:r>
              <w:rPr>
                <w:sz w:val="19"/>
                <w:szCs w:val="19"/>
              </w:rPr>
              <w:t>Specifically protected from disclosure by law, including FERPA and RCW 42.56.590.</w:t>
            </w:r>
          </w:p>
        </w:tc>
        <w:tc>
          <w:tcPr>
            <w:tcW w:w="0" w:type="auto"/>
            <w:tcBorders>
              <w:top w:val="single" w:sz="4" w:space="0" w:color="CCCCCC"/>
              <w:left w:val="single" w:sz="4" w:space="0" w:color="CCCCCC"/>
              <w:bottom w:val="single" w:sz="4" w:space="0" w:color="CCCCCC"/>
              <w:right w:val="single" w:sz="4" w:space="0" w:color="CCCCCC"/>
            </w:tcBorders>
            <w:shd w:val="clear" w:color="auto" w:fill="FFE0B2"/>
            <w:tcMar>
              <w:top w:w="80" w:type="dxa"/>
              <w:left w:w="100" w:type="dxa"/>
              <w:bottom w:w="80" w:type="dxa"/>
              <w:right w:w="100" w:type="dxa"/>
            </w:tcMar>
          </w:tcPr>
          <w:p w14:paraId="256C9D6C" w14:textId="77777777" w:rsidR="0066709D" w:rsidRDefault="006A0A74">
            <w:r>
              <w:rPr>
                <w:sz w:val="19"/>
                <w:szCs w:val="19"/>
              </w:rPr>
              <w:t>CPTC-designated enterprise platforms with executed Data Processing Agreements only. Individually licensed and consumer-tier tools are not permitted.</w:t>
            </w:r>
          </w:p>
        </w:tc>
      </w:tr>
      <w:tr w:rsidR="0066709D" w14:paraId="256C9D72" w14:textId="77777777">
        <w:tc>
          <w:tcPr>
            <w:tcW w:w="0" w:type="auto"/>
            <w:tcBorders>
              <w:top w:val="single" w:sz="4" w:space="0" w:color="CCCCCC"/>
              <w:left w:val="single" w:sz="4" w:space="0" w:color="CCCCCC"/>
              <w:bottom w:val="single" w:sz="4" w:space="0" w:color="CCCCCC"/>
              <w:right w:val="single" w:sz="4" w:space="0" w:color="CCCCCC"/>
            </w:tcBorders>
            <w:shd w:val="clear" w:color="auto" w:fill="FFCDD2"/>
            <w:tcMar>
              <w:top w:w="80" w:type="dxa"/>
              <w:left w:w="100" w:type="dxa"/>
              <w:bottom w:w="80" w:type="dxa"/>
              <w:right w:w="100" w:type="dxa"/>
            </w:tcMar>
          </w:tcPr>
          <w:p w14:paraId="256C9D6E" w14:textId="77777777" w:rsidR="0066709D" w:rsidRDefault="006A0A74">
            <w:r>
              <w:rPr>
                <w:b/>
                <w:bCs/>
                <w:sz w:val="19"/>
                <w:szCs w:val="19"/>
              </w:rPr>
              <w:t>Category 4 Confidential / Special Handling</w:t>
            </w:r>
          </w:p>
        </w:tc>
        <w:tc>
          <w:tcPr>
            <w:tcW w:w="0" w:type="auto"/>
            <w:tcBorders>
              <w:top w:val="single" w:sz="4" w:space="0" w:color="CCCCCC"/>
              <w:left w:val="single" w:sz="4" w:space="0" w:color="CCCCCC"/>
              <w:bottom w:val="single" w:sz="4" w:space="0" w:color="CCCCCC"/>
              <w:right w:val="single" w:sz="4" w:space="0" w:color="CCCCCC"/>
            </w:tcBorders>
            <w:shd w:val="clear" w:color="auto" w:fill="FFCDD2"/>
            <w:tcMar>
              <w:top w:w="80" w:type="dxa"/>
              <w:left w:w="100" w:type="dxa"/>
              <w:bottom w:w="80" w:type="dxa"/>
              <w:right w:w="100" w:type="dxa"/>
            </w:tcMar>
          </w:tcPr>
          <w:p w14:paraId="256C9D6F" w14:textId="77777777" w:rsidR="0066709D" w:rsidRDefault="006A0A74">
            <w:r>
              <w:rPr>
                <w:sz w:val="19"/>
                <w:szCs w:val="19"/>
              </w:rPr>
              <w:t>Minor student records (Running Start), clinical and healthcare-adjacent records, Social Security numbers, legally privileged communications, records under court order or special regulatory protection</w:t>
            </w:r>
          </w:p>
        </w:tc>
        <w:tc>
          <w:tcPr>
            <w:tcW w:w="0" w:type="auto"/>
            <w:tcBorders>
              <w:top w:val="single" w:sz="4" w:space="0" w:color="CCCCCC"/>
              <w:left w:val="single" w:sz="4" w:space="0" w:color="CCCCCC"/>
              <w:bottom w:val="single" w:sz="4" w:space="0" w:color="CCCCCC"/>
              <w:right w:val="single" w:sz="4" w:space="0" w:color="CCCCCC"/>
            </w:tcBorders>
            <w:shd w:val="clear" w:color="auto" w:fill="FFCDD2"/>
            <w:tcMar>
              <w:top w:w="80" w:type="dxa"/>
              <w:left w:w="100" w:type="dxa"/>
              <w:bottom w:w="80" w:type="dxa"/>
              <w:right w:w="100" w:type="dxa"/>
            </w:tcMar>
          </w:tcPr>
          <w:p w14:paraId="256C9D70" w14:textId="77777777" w:rsidR="0066709D" w:rsidRDefault="006A0A74">
            <w:r>
              <w:rPr>
                <w:sz w:val="19"/>
                <w:szCs w:val="19"/>
              </w:rPr>
              <w:t>Specifically protected with especially strict handling requirements. Serious legal or safety consequences may arise from unauthorized disclosure.</w:t>
            </w:r>
          </w:p>
        </w:tc>
        <w:tc>
          <w:tcPr>
            <w:tcW w:w="0" w:type="auto"/>
            <w:tcBorders>
              <w:top w:val="single" w:sz="4" w:space="0" w:color="CCCCCC"/>
              <w:left w:val="single" w:sz="4" w:space="0" w:color="CCCCCC"/>
              <w:bottom w:val="single" w:sz="4" w:space="0" w:color="CCCCCC"/>
              <w:right w:val="single" w:sz="4" w:space="0" w:color="CCCCCC"/>
            </w:tcBorders>
            <w:shd w:val="clear" w:color="auto" w:fill="FFCDD2"/>
            <w:tcMar>
              <w:top w:w="80" w:type="dxa"/>
              <w:left w:w="100" w:type="dxa"/>
              <w:bottom w:w="80" w:type="dxa"/>
              <w:right w:w="100" w:type="dxa"/>
            </w:tcMar>
          </w:tcPr>
          <w:p w14:paraId="256C9D71" w14:textId="77777777" w:rsidR="0066709D" w:rsidRDefault="006A0A74">
            <w:r>
              <w:rPr>
                <w:sz w:val="19"/>
                <w:szCs w:val="19"/>
              </w:rPr>
              <w:t>CPTC-designated enterprise platforms with executed Data Processing Agreements only. Department-head approval required before use. No exceptions.</w:t>
            </w:r>
          </w:p>
        </w:tc>
      </w:tr>
    </w:tbl>
    <w:p w14:paraId="256C9D73" w14:textId="77777777" w:rsidR="0066709D" w:rsidRDefault="0066709D">
      <w:pPr>
        <w:spacing w:before="80" w:after="40"/>
      </w:pPr>
    </w:p>
    <w:p w14:paraId="256C9D74" w14:textId="77777777" w:rsidR="0066709D" w:rsidRDefault="006A0A74">
      <w:pPr>
        <w:spacing w:before="80" w:after="100"/>
      </w:pPr>
      <w:r>
        <w:rPr>
          <w:i/>
          <w:iCs/>
          <w:color w:val="555555"/>
        </w:rPr>
        <w:t>The enterprise and consumer tiers of the same AI platform are not equivalent. A personal or free-tier account does not carry the data protections of a CPTC institutional license, regardless of the tool’s name. Enterprise status is determined by how the account is procured, not by the tool itself.</w:t>
      </w:r>
    </w:p>
    <w:p w14:paraId="256C9D75" w14:textId="77777777" w:rsidR="0066709D" w:rsidRDefault="0066709D">
      <w:pPr>
        <w:spacing w:before="140" w:after="40"/>
      </w:pPr>
    </w:p>
    <w:p w14:paraId="256C9D76" w14:textId="77777777" w:rsidR="0066709D" w:rsidRDefault="006A0A74">
      <w:pPr>
        <w:spacing w:before="160" w:after="60"/>
      </w:pPr>
      <w:r>
        <w:rPr>
          <w:b/>
          <w:bCs/>
          <w:color w:val="1F4E79"/>
          <w:sz w:val="22"/>
          <w:szCs w:val="22"/>
        </w:rPr>
        <w:t>Approved Enterprise Platforms</w:t>
      </w:r>
    </w:p>
    <w:p w14:paraId="256C9D77" w14:textId="77777777" w:rsidR="0066709D" w:rsidRDefault="006A0A74">
      <w:pPr>
        <w:spacing w:before="80" w:after="100"/>
      </w:pPr>
      <w:r>
        <w:t>IT maintains and publishes a current list of CPTC-designated enterprise AI platforms. These platforms have been vetted to confirm executed Data Processing Agreements, data isolation from other organizations, and contractual commitments against using CPTC data to train AI models.</w:t>
      </w:r>
    </w:p>
    <w:p w14:paraId="256C9D78" w14:textId="77777777" w:rsidR="0066709D" w:rsidRDefault="006A0A74">
      <w:pPr>
        <w:spacing w:before="80" w:after="100"/>
      </w:pPr>
      <w:r>
        <w:t>Any employee who wishes to use an AI tool not on the approved list with Category 3 or Category 4 institutional data must submit a request to IT for evaluation before use. IT will assess whether the tool meets data protection requirements and respond within 15 business days.</w:t>
      </w:r>
    </w:p>
    <w:p w14:paraId="256C9D79" w14:textId="77777777" w:rsidR="0066709D" w:rsidRDefault="0066709D">
      <w:pPr>
        <w:spacing w:before="140" w:after="40"/>
      </w:pPr>
    </w:p>
    <w:p w14:paraId="256C9D7A" w14:textId="77777777" w:rsidR="0066709D" w:rsidRDefault="006A0A74">
      <w:pPr>
        <w:spacing w:before="160" w:after="60"/>
      </w:pPr>
      <w:r>
        <w:rPr>
          <w:b/>
          <w:bCs/>
          <w:color w:val="1F4E79"/>
          <w:sz w:val="22"/>
          <w:szCs w:val="22"/>
        </w:rPr>
        <w:t>Standards for All Users</w:t>
      </w:r>
    </w:p>
    <w:p w14:paraId="256C9D7B" w14:textId="77777777" w:rsidR="0066709D" w:rsidRDefault="006A0A74">
      <w:pPr>
        <w:spacing w:before="80" w:after="100"/>
      </w:pPr>
      <w:r>
        <w:t>All faculty, staff, administrators, and students using AI tools in connection with CPTC work or institutional data must:</w:t>
      </w:r>
    </w:p>
    <w:p w14:paraId="256C9D7C" w14:textId="77777777" w:rsidR="0066709D" w:rsidRDefault="006A0A74">
      <w:pPr>
        <w:pStyle w:val="ListParagraph"/>
        <w:numPr>
          <w:ilvl w:val="0"/>
          <w:numId w:val="2"/>
        </w:numPr>
        <w:spacing w:before="40" w:after="40"/>
      </w:pPr>
      <w:r>
        <w:rPr>
          <w:b/>
          <w:bCs/>
        </w:rPr>
        <w:t xml:space="preserve">Verify accuracy.  </w:t>
      </w:r>
      <w:r>
        <w:t>Review and confirm AI-generated content before use in official communications, public-facing materials, student-facing contexts, or any situation where accuracy is consequential. AI systems can produce false, outdated, or fabricated information.</w:t>
      </w:r>
    </w:p>
    <w:p w14:paraId="256C9D7D" w14:textId="77777777" w:rsidR="0066709D" w:rsidRDefault="006A0A74">
      <w:pPr>
        <w:pStyle w:val="ListParagraph"/>
        <w:numPr>
          <w:ilvl w:val="0"/>
          <w:numId w:val="2"/>
        </w:numPr>
        <w:spacing w:before="40" w:after="40"/>
      </w:pPr>
      <w:r>
        <w:rPr>
          <w:b/>
          <w:bCs/>
        </w:rPr>
        <w:t xml:space="preserve">Protect institutional data.  </w:t>
      </w:r>
      <w:r>
        <w:t>Not enter Category 3 or Category 4 data into any AI tool that is not a CPTC-designated enterprise platform with an executed Data Processing Agreement. This applies regardless of device, account type, or intent.</w:t>
      </w:r>
    </w:p>
    <w:p w14:paraId="256C9D7E" w14:textId="77777777" w:rsidR="0066709D" w:rsidRDefault="006A0A74">
      <w:pPr>
        <w:pStyle w:val="ListParagraph"/>
        <w:numPr>
          <w:ilvl w:val="0"/>
          <w:numId w:val="2"/>
        </w:numPr>
        <w:spacing w:before="40" w:after="40"/>
      </w:pPr>
      <w:r>
        <w:rPr>
          <w:b/>
          <w:bCs/>
        </w:rPr>
        <w:t xml:space="preserve">Own the work product.  </w:t>
      </w:r>
      <w:r>
        <w:t>Remain professionally and legally accountable for all work regardless of AI involvement. AI assistance does not transfer responsibility for accuracy, compliance, or outcomes.</w:t>
      </w:r>
    </w:p>
    <w:p w14:paraId="256C9D7F" w14:textId="77777777" w:rsidR="0066709D" w:rsidRDefault="006A0A74">
      <w:pPr>
        <w:pStyle w:val="ListParagraph"/>
        <w:numPr>
          <w:ilvl w:val="0"/>
          <w:numId w:val="2"/>
        </w:numPr>
        <w:spacing w:before="40" w:after="40"/>
      </w:pPr>
      <w:r>
        <w:rPr>
          <w:b/>
          <w:bCs/>
        </w:rPr>
        <w:t xml:space="preserve">Report incidents promptly.  </w:t>
      </w:r>
      <w:r>
        <w:t>Notify IT immediately if Category 3 or Category 4 data may have been entered into a non-designated AI tool. Washington state law imposes breach notification obligations. Early reporting allows the College to take protective action.</w:t>
      </w:r>
    </w:p>
    <w:p w14:paraId="256C9D80" w14:textId="77777777" w:rsidR="0066709D" w:rsidRDefault="006A0A74">
      <w:pPr>
        <w:pStyle w:val="ListParagraph"/>
        <w:numPr>
          <w:ilvl w:val="0"/>
          <w:numId w:val="2"/>
        </w:numPr>
        <w:spacing w:before="40" w:after="40"/>
      </w:pPr>
      <w:r>
        <w:rPr>
          <w:b/>
          <w:bCs/>
        </w:rPr>
        <w:t xml:space="preserve">Respect copyright and intellectual property.  </w:t>
      </w:r>
      <w:r>
        <w:t>Not use AI to reproduce or repurpose copyrighted content in violation of law or College policy. Verify AI-generated content does not infringe existing intellectual property before institutional use.</w:t>
      </w:r>
    </w:p>
    <w:p w14:paraId="256C9D81" w14:textId="77777777" w:rsidR="0066709D" w:rsidRDefault="0066709D">
      <w:pPr>
        <w:spacing w:before="140" w:after="40"/>
      </w:pPr>
    </w:p>
    <w:p w14:paraId="256C9D82" w14:textId="77777777" w:rsidR="0066709D" w:rsidRDefault="006A0A74">
      <w:pPr>
        <w:spacing w:before="160" w:after="60"/>
      </w:pPr>
      <w:r>
        <w:rPr>
          <w:b/>
          <w:bCs/>
          <w:color w:val="1F4E79"/>
          <w:sz w:val="22"/>
          <w:szCs w:val="22"/>
        </w:rPr>
        <w:t>Prohibited Uses</w:t>
      </w:r>
    </w:p>
    <w:p w14:paraId="256C9D83" w14:textId="77777777" w:rsidR="0066709D" w:rsidRDefault="006A0A74">
      <w:pPr>
        <w:spacing w:before="80" w:after="100"/>
      </w:pPr>
      <w:r>
        <w:t>The following are prohibited for all faculty, staff, administrators, and students:</w:t>
      </w:r>
    </w:p>
    <w:p w14:paraId="256C9D84" w14:textId="77777777" w:rsidR="0066709D" w:rsidRDefault="006A0A74">
      <w:pPr>
        <w:pStyle w:val="ListParagraph"/>
        <w:numPr>
          <w:ilvl w:val="0"/>
          <w:numId w:val="2"/>
        </w:numPr>
        <w:spacing w:before="40" w:after="40"/>
      </w:pPr>
      <w:r>
        <w:lastRenderedPageBreak/>
        <w:t>Entering Category 3 or Category 4 data into any AI tool that is not a CPTC-designated enterprise platform with an executed Data Processing Agreement.</w:t>
      </w:r>
    </w:p>
    <w:p w14:paraId="256C9D85" w14:textId="77777777" w:rsidR="0066709D" w:rsidRDefault="006A0A74">
      <w:pPr>
        <w:pStyle w:val="ListParagraph"/>
        <w:numPr>
          <w:ilvl w:val="0"/>
          <w:numId w:val="2"/>
        </w:numPr>
        <w:spacing w:before="40" w:after="40"/>
      </w:pPr>
      <w:r>
        <w:t>Using AI to make or automate consequential decisions about individuals — including admissions, grading, discipline, hiring, or accommodations — without meaningful human review and documented accountability.</w:t>
      </w:r>
    </w:p>
    <w:p w14:paraId="256C9D86" w14:textId="77777777" w:rsidR="0066709D" w:rsidRDefault="006A0A74">
      <w:pPr>
        <w:pStyle w:val="ListParagraph"/>
        <w:numPr>
          <w:ilvl w:val="0"/>
          <w:numId w:val="2"/>
        </w:numPr>
        <w:spacing w:before="40" w:after="40"/>
      </w:pPr>
      <w:r>
        <w:t>Creating or distributing synthetic likenesses (deepfakes) of real persons without their explicit consent, in violation of RCW 9A.60.010 and RCW 9A.60.045.</w:t>
      </w:r>
    </w:p>
    <w:p w14:paraId="256C9D87" w14:textId="77777777" w:rsidR="0066709D" w:rsidRDefault="006A0A74">
      <w:pPr>
        <w:pStyle w:val="ListParagraph"/>
        <w:numPr>
          <w:ilvl w:val="0"/>
          <w:numId w:val="2"/>
        </w:numPr>
        <w:spacing w:before="40" w:after="40"/>
      </w:pPr>
      <w:r>
        <w:t>Acquiring or deploying AI services involving Category 3 or Category 4 institutional data without prior written authorization from IT and completion of a security design review.</w:t>
      </w:r>
    </w:p>
    <w:p w14:paraId="256C9D88" w14:textId="77777777" w:rsidR="0066709D" w:rsidRDefault="006A0A74">
      <w:pPr>
        <w:pStyle w:val="ListParagraph"/>
        <w:numPr>
          <w:ilvl w:val="0"/>
          <w:numId w:val="2"/>
        </w:numPr>
        <w:spacing w:before="40" w:after="40"/>
      </w:pPr>
      <w:r>
        <w:t>Using AI tools in ways that violate FERPA, Washington state ethics law (RCW 42.52.050), the Washington Privacy Act, or other applicable law or College policy.</w:t>
      </w:r>
    </w:p>
    <w:p w14:paraId="256C9D89" w14:textId="77777777" w:rsidR="0066709D" w:rsidRDefault="0066709D">
      <w:pPr>
        <w:spacing w:before="140" w:after="40"/>
      </w:pPr>
    </w:p>
    <w:p w14:paraId="256C9D8A" w14:textId="77777777" w:rsidR="0066709D" w:rsidRDefault="006A0A74">
      <w:pPr>
        <w:spacing w:before="160" w:after="60"/>
      </w:pPr>
      <w:r>
        <w:rPr>
          <w:b/>
          <w:bCs/>
          <w:color w:val="1F4E79"/>
          <w:sz w:val="22"/>
          <w:szCs w:val="22"/>
        </w:rPr>
        <w:t>Disclosure</w:t>
      </w:r>
    </w:p>
    <w:p w14:paraId="256C9D8B" w14:textId="77777777" w:rsidR="0066709D" w:rsidRDefault="006A0A74">
      <w:pPr>
        <w:spacing w:before="80" w:after="100"/>
      </w:pPr>
      <w:r>
        <w:t>AI use must be disclosed in official institutional documents submitted to external bodies, including accreditation materials, grant applications, and board reports. Disclosure should identify the tool used and describe how the content was reviewed. Disclosure is encouraged, but not required, for routine internal drafting, brainstorming, and administrative tasks.</w:t>
      </w:r>
    </w:p>
    <w:p w14:paraId="256C9D8C" w14:textId="77777777" w:rsidR="0066709D" w:rsidRDefault="0066709D">
      <w:pPr>
        <w:spacing w:before="140" w:after="40"/>
      </w:pPr>
    </w:p>
    <w:p w14:paraId="256C9D8D" w14:textId="77777777" w:rsidR="0066709D" w:rsidRDefault="006A0A74">
      <w:pPr>
        <w:spacing w:before="160" w:after="60"/>
      </w:pPr>
      <w:r>
        <w:rPr>
          <w:b/>
          <w:bCs/>
          <w:color w:val="1F4E79"/>
          <w:sz w:val="22"/>
          <w:szCs w:val="22"/>
        </w:rPr>
        <w:t>Related Policies and References</w:t>
      </w:r>
    </w:p>
    <w:p w14:paraId="256C9D8E" w14:textId="77777777" w:rsidR="0066709D" w:rsidRDefault="006A0A74">
      <w:pPr>
        <w:spacing w:before="80" w:after="100"/>
      </w:pPr>
      <w:r>
        <w:t>Related CPTC Policies: Policy 3.9 Acceptable Use of Technology Resources | Policy 3.13 Copyright | Policy 3.21 Records Retention | Policy 4.19 Generative AI in Instruction | Policy 5.13 FERPA</w:t>
      </w:r>
    </w:p>
    <w:p w14:paraId="256C9D8F" w14:textId="77777777" w:rsidR="0066709D" w:rsidRDefault="0066709D">
      <w:pPr>
        <w:spacing w:before="40" w:after="20"/>
      </w:pPr>
    </w:p>
    <w:p w14:paraId="256C9D90" w14:textId="77777777" w:rsidR="0066709D" w:rsidRDefault="006A0A74">
      <w:pPr>
        <w:spacing w:before="80" w:after="100"/>
      </w:pPr>
      <w:r>
        <w:t xml:space="preserve">Legal References: OCIO Standard 141.10 | FERPA, 20 U.S.C. § 1232g | RCW 42.52.050 (State Ethics) | RCW 42.56 (Public Records) | RCW 42.56.590 (Personal Information) | RCW 9A.60.010 and 9A.60.045 (Synthetic Likeness) | </w:t>
      </w:r>
      <w:proofErr w:type="spellStart"/>
      <w:r>
        <w:t>WaTech</w:t>
      </w:r>
      <w:proofErr w:type="spellEnd"/>
      <w:r>
        <w:t xml:space="preserve"> AI Risk Guidance (2025)</w:t>
      </w:r>
    </w:p>
    <w:p w14:paraId="256C9D91" w14:textId="77777777" w:rsidR="0066709D" w:rsidRDefault="0066709D">
      <w:pPr>
        <w:spacing w:before="20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28"/>
        <w:gridCol w:w="5532"/>
      </w:tblGrid>
      <w:tr w:rsidR="0066709D" w14:paraId="256C9D96" w14:textId="77777777">
        <w:tc>
          <w:tcPr>
            <w:tcW w:w="0" w:type="auto"/>
            <w:tcBorders>
              <w:top w:val="none" w:sz="0" w:space="0" w:color="FFFFFF"/>
              <w:left w:val="none" w:sz="0" w:space="0" w:color="FFFFFF"/>
              <w:bottom w:val="none" w:sz="0" w:space="0" w:color="FFFFFF"/>
              <w:right w:val="none" w:sz="0" w:space="0" w:color="FFFFFF"/>
            </w:tcBorders>
            <w:tcMar>
              <w:top w:w="80" w:type="dxa"/>
              <w:left w:w="0" w:type="dxa"/>
              <w:bottom w:w="80" w:type="dxa"/>
              <w:right w:w="160" w:type="dxa"/>
            </w:tcMar>
          </w:tcPr>
          <w:p w14:paraId="256C9D92" w14:textId="77777777" w:rsidR="0066709D" w:rsidRDefault="006A0A74">
            <w:pPr>
              <w:pBdr>
                <w:top w:val="single" w:sz="2" w:space="4" w:color="CCCCCC"/>
              </w:pBdr>
              <w:spacing w:before="80" w:after="20"/>
            </w:pPr>
            <w:r>
              <w:rPr>
                <w:color w:val="888888"/>
                <w:sz w:val="19"/>
                <w:szCs w:val="19"/>
              </w:rPr>
              <w:t>President’s Signature</w:t>
            </w:r>
          </w:p>
          <w:p w14:paraId="256C9D93" w14:textId="77777777" w:rsidR="0066709D" w:rsidRDefault="006A0A74">
            <w:pPr>
              <w:spacing w:before="20"/>
            </w:pPr>
            <w:r>
              <w:rPr>
                <w:color w:val="888888"/>
                <w:sz w:val="19"/>
                <w:szCs w:val="19"/>
              </w:rPr>
              <w:t>Date</w:t>
            </w:r>
          </w:p>
        </w:tc>
        <w:tc>
          <w:tcPr>
            <w:tcW w:w="0" w:type="auto"/>
            <w:tcBorders>
              <w:top w:val="none" w:sz="0" w:space="0" w:color="FFFFFF"/>
              <w:left w:val="none" w:sz="0" w:space="0" w:color="FFFFFF"/>
              <w:bottom w:val="none" w:sz="0" w:space="0" w:color="FFFFFF"/>
              <w:right w:val="none" w:sz="0" w:space="0" w:color="FFFFFF"/>
            </w:tcBorders>
            <w:tcMar>
              <w:top w:w="80" w:type="dxa"/>
              <w:left w:w="160" w:type="dxa"/>
              <w:bottom w:w="80" w:type="dxa"/>
              <w:right w:w="0" w:type="dxa"/>
            </w:tcMar>
          </w:tcPr>
          <w:p w14:paraId="256C9D94" w14:textId="77777777" w:rsidR="0066709D" w:rsidRDefault="006A0A74">
            <w:pPr>
              <w:pBdr>
                <w:top w:val="single" w:sz="2" w:space="4" w:color="CCCCCC"/>
              </w:pBdr>
              <w:spacing w:before="80" w:after="20"/>
            </w:pPr>
            <w:r>
              <w:rPr>
                <w:color w:val="888888"/>
                <w:sz w:val="19"/>
                <w:szCs w:val="19"/>
              </w:rPr>
              <w:t>Board Ratification (if applicable)</w:t>
            </w:r>
          </w:p>
          <w:p w14:paraId="256C9D95" w14:textId="77777777" w:rsidR="0066709D" w:rsidRDefault="006A0A74">
            <w:pPr>
              <w:spacing w:before="20"/>
            </w:pPr>
            <w:r>
              <w:rPr>
                <w:color w:val="888888"/>
                <w:sz w:val="19"/>
                <w:szCs w:val="19"/>
              </w:rPr>
              <w:t>Date</w:t>
            </w:r>
          </w:p>
        </w:tc>
      </w:tr>
    </w:tbl>
    <w:p w14:paraId="256C9D97" w14:textId="77777777" w:rsidR="0066709D" w:rsidRDefault="0066709D">
      <w:pPr>
        <w:spacing w:before="80" w:after="40"/>
      </w:pPr>
    </w:p>
    <w:p w14:paraId="256C9D98" w14:textId="0669091C" w:rsidR="0066709D" w:rsidRDefault="0066709D">
      <w:pPr>
        <w:spacing w:before="80" w:after="100"/>
      </w:pPr>
    </w:p>
    <w:sectPr w:rsidR="0066709D">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EA2C3" w14:textId="77777777" w:rsidR="00C616C9" w:rsidRDefault="00C616C9">
      <w:r>
        <w:separator/>
      </w:r>
    </w:p>
  </w:endnote>
  <w:endnote w:type="continuationSeparator" w:id="0">
    <w:p w14:paraId="5AC3789B" w14:textId="77777777" w:rsidR="00C616C9" w:rsidRDefault="00C61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C9D99" w14:textId="6BE03598" w:rsidR="0066709D" w:rsidRDefault="006A0A74">
    <w:pPr>
      <w:pBdr>
        <w:top w:val="single" w:sz="2" w:space="4" w:color="CCCCCC"/>
      </w:pBdr>
      <w:spacing w:before="80"/>
      <w:jc w:val="center"/>
    </w:pPr>
    <w:r>
      <w:rPr>
        <w:color w:val="888888"/>
        <w:sz w:val="17"/>
        <w:szCs w:val="17"/>
      </w:rPr>
      <w:t xml:space="preserve">CPTC Policy </w:t>
    </w:r>
    <w:proofErr w:type="gramStart"/>
    <w:r>
      <w:rPr>
        <w:color w:val="888888"/>
        <w:sz w:val="17"/>
        <w:szCs w:val="17"/>
      </w:rPr>
      <w:t>3.3</w:t>
    </w:r>
    <w:r w:rsidR="000F56A4">
      <w:rPr>
        <w:color w:val="888888"/>
        <w:sz w:val="17"/>
        <w:szCs w:val="17"/>
      </w:rPr>
      <w:t>7</w:t>
    </w:r>
    <w:r>
      <w:rPr>
        <w:color w:val="888888"/>
        <w:sz w:val="17"/>
        <w:szCs w:val="17"/>
      </w:rPr>
      <w:t xml:space="preserve">  |</w:t>
    </w:r>
    <w:proofErr w:type="gramEnd"/>
    <w:r>
      <w:rPr>
        <w:color w:val="888888"/>
        <w:sz w:val="17"/>
        <w:szCs w:val="17"/>
      </w:rPr>
      <w:t xml:space="preserve">  Use of Artificial Intelligence  |  Page </w:t>
    </w:r>
    <w:r>
      <w:rPr>
        <w:color w:val="888888"/>
        <w:sz w:val="17"/>
        <w:szCs w:val="17"/>
      </w:rPr>
      <w:fldChar w:fldCharType="begin"/>
    </w:r>
    <w:r>
      <w:rPr>
        <w:color w:val="888888"/>
        <w:sz w:val="17"/>
        <w:szCs w:val="17"/>
      </w:rPr>
      <w:instrText>PAGE</w:instrText>
    </w:r>
    <w:r>
      <w:rPr>
        <w:color w:val="888888"/>
        <w:sz w:val="17"/>
        <w:szCs w:val="17"/>
      </w:rPr>
      <w:fldChar w:fldCharType="separate"/>
    </w:r>
    <w:r w:rsidR="00E53E37">
      <w:rPr>
        <w:noProof/>
        <w:color w:val="888888"/>
        <w:sz w:val="17"/>
        <w:szCs w:val="17"/>
      </w:rPr>
      <w:t>1</w:t>
    </w:r>
    <w:r>
      <w:rPr>
        <w:color w:val="888888"/>
        <w:sz w:val="17"/>
        <w:szCs w:val="17"/>
      </w:rPr>
      <w:fldChar w:fldCharType="end"/>
    </w:r>
    <w:r>
      <w:rPr>
        <w:color w:val="888888"/>
        <w:sz w:val="17"/>
        <w:szCs w:val="17"/>
      </w:rPr>
      <w:t xml:space="preserve"> of </w:t>
    </w:r>
    <w:r>
      <w:rPr>
        <w:color w:val="888888"/>
        <w:sz w:val="17"/>
        <w:szCs w:val="17"/>
      </w:rPr>
      <w:fldChar w:fldCharType="begin"/>
    </w:r>
    <w:r>
      <w:rPr>
        <w:color w:val="888888"/>
        <w:sz w:val="17"/>
        <w:szCs w:val="17"/>
      </w:rPr>
      <w:instrText>NUMPAGES</w:instrText>
    </w:r>
    <w:r>
      <w:rPr>
        <w:color w:val="888888"/>
        <w:sz w:val="17"/>
        <w:szCs w:val="17"/>
      </w:rPr>
      <w:fldChar w:fldCharType="separate"/>
    </w:r>
    <w:r w:rsidR="00E53E37">
      <w:rPr>
        <w:noProof/>
        <w:color w:val="888888"/>
        <w:sz w:val="17"/>
        <w:szCs w:val="17"/>
      </w:rPr>
      <w:t>2</w:t>
    </w:r>
    <w:r>
      <w:rPr>
        <w:color w:val="888888"/>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B51EA" w14:textId="77777777" w:rsidR="00C616C9" w:rsidRDefault="00C616C9">
      <w:r>
        <w:separator/>
      </w:r>
    </w:p>
  </w:footnote>
  <w:footnote w:type="continuationSeparator" w:id="0">
    <w:p w14:paraId="285AAAFC" w14:textId="77777777" w:rsidR="00C616C9" w:rsidRDefault="00C61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D75941"/>
    <w:multiLevelType w:val="hybridMultilevel"/>
    <w:tmpl w:val="A0ECFF58"/>
    <w:lvl w:ilvl="0" w:tplc="68CE1D56">
      <w:start w:val="1"/>
      <w:numFmt w:val="bullet"/>
      <w:lvlText w:val="●"/>
      <w:lvlJc w:val="left"/>
      <w:pPr>
        <w:ind w:left="720" w:hanging="360"/>
      </w:pPr>
    </w:lvl>
    <w:lvl w:ilvl="1" w:tplc="F4421596">
      <w:start w:val="1"/>
      <w:numFmt w:val="bullet"/>
      <w:lvlText w:val="○"/>
      <w:lvlJc w:val="left"/>
      <w:pPr>
        <w:ind w:left="1440" w:hanging="360"/>
      </w:pPr>
    </w:lvl>
    <w:lvl w:ilvl="2" w:tplc="9B1C30EE">
      <w:start w:val="1"/>
      <w:numFmt w:val="bullet"/>
      <w:lvlText w:val="■"/>
      <w:lvlJc w:val="left"/>
      <w:pPr>
        <w:ind w:left="2160" w:hanging="360"/>
      </w:pPr>
    </w:lvl>
    <w:lvl w:ilvl="3" w:tplc="6486CC04">
      <w:start w:val="1"/>
      <w:numFmt w:val="bullet"/>
      <w:lvlText w:val="●"/>
      <w:lvlJc w:val="left"/>
      <w:pPr>
        <w:ind w:left="2880" w:hanging="360"/>
      </w:pPr>
    </w:lvl>
    <w:lvl w:ilvl="4" w:tplc="590A585E">
      <w:start w:val="1"/>
      <w:numFmt w:val="bullet"/>
      <w:lvlText w:val="○"/>
      <w:lvlJc w:val="left"/>
      <w:pPr>
        <w:ind w:left="3600" w:hanging="360"/>
      </w:pPr>
    </w:lvl>
    <w:lvl w:ilvl="5" w:tplc="A586A220">
      <w:start w:val="1"/>
      <w:numFmt w:val="bullet"/>
      <w:lvlText w:val="■"/>
      <w:lvlJc w:val="left"/>
      <w:pPr>
        <w:ind w:left="4320" w:hanging="360"/>
      </w:pPr>
    </w:lvl>
    <w:lvl w:ilvl="6" w:tplc="373C733A">
      <w:start w:val="1"/>
      <w:numFmt w:val="bullet"/>
      <w:lvlText w:val="●"/>
      <w:lvlJc w:val="left"/>
      <w:pPr>
        <w:ind w:left="5040" w:hanging="360"/>
      </w:pPr>
    </w:lvl>
    <w:lvl w:ilvl="7" w:tplc="D3F6FA58">
      <w:start w:val="1"/>
      <w:numFmt w:val="bullet"/>
      <w:lvlText w:val="●"/>
      <w:lvlJc w:val="left"/>
      <w:pPr>
        <w:ind w:left="5760" w:hanging="360"/>
      </w:pPr>
    </w:lvl>
    <w:lvl w:ilvl="8" w:tplc="9AC4D64E">
      <w:start w:val="1"/>
      <w:numFmt w:val="bullet"/>
      <w:lvlText w:val="●"/>
      <w:lvlJc w:val="left"/>
      <w:pPr>
        <w:ind w:left="6480" w:hanging="360"/>
      </w:pPr>
    </w:lvl>
  </w:abstractNum>
  <w:abstractNum w:abstractNumId="1" w15:restartNumberingAfterBreak="0">
    <w:nsid w:val="545471A6"/>
    <w:multiLevelType w:val="hybridMultilevel"/>
    <w:tmpl w:val="79C62118"/>
    <w:lvl w:ilvl="0" w:tplc="FCAA8E96">
      <w:start w:val="1"/>
      <w:numFmt w:val="bullet"/>
      <w:lvlText w:val="•"/>
      <w:lvlJc w:val="left"/>
      <w:pPr>
        <w:ind w:left="720" w:hanging="360"/>
      </w:pPr>
    </w:lvl>
    <w:lvl w:ilvl="1" w:tplc="B6241C18">
      <w:numFmt w:val="decimal"/>
      <w:lvlText w:val=""/>
      <w:lvlJc w:val="left"/>
    </w:lvl>
    <w:lvl w:ilvl="2" w:tplc="3E107A04">
      <w:numFmt w:val="decimal"/>
      <w:lvlText w:val=""/>
      <w:lvlJc w:val="left"/>
    </w:lvl>
    <w:lvl w:ilvl="3" w:tplc="6D720974">
      <w:numFmt w:val="decimal"/>
      <w:lvlText w:val=""/>
      <w:lvlJc w:val="left"/>
    </w:lvl>
    <w:lvl w:ilvl="4" w:tplc="ED9C0538">
      <w:numFmt w:val="decimal"/>
      <w:lvlText w:val=""/>
      <w:lvlJc w:val="left"/>
    </w:lvl>
    <w:lvl w:ilvl="5" w:tplc="7D20C166">
      <w:numFmt w:val="decimal"/>
      <w:lvlText w:val=""/>
      <w:lvlJc w:val="left"/>
    </w:lvl>
    <w:lvl w:ilvl="6" w:tplc="21503AEC">
      <w:numFmt w:val="decimal"/>
      <w:lvlText w:val=""/>
      <w:lvlJc w:val="left"/>
    </w:lvl>
    <w:lvl w:ilvl="7" w:tplc="E9761B6C">
      <w:numFmt w:val="decimal"/>
      <w:lvlText w:val=""/>
      <w:lvlJc w:val="left"/>
    </w:lvl>
    <w:lvl w:ilvl="8" w:tplc="478AF07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9D"/>
    <w:rsid w:val="000F56A4"/>
    <w:rsid w:val="001316F4"/>
    <w:rsid w:val="00166A15"/>
    <w:rsid w:val="00332D65"/>
    <w:rsid w:val="00396CDF"/>
    <w:rsid w:val="005211B9"/>
    <w:rsid w:val="005668F7"/>
    <w:rsid w:val="0066709D"/>
    <w:rsid w:val="006A0A74"/>
    <w:rsid w:val="00893F82"/>
    <w:rsid w:val="00A04C76"/>
    <w:rsid w:val="00A3481C"/>
    <w:rsid w:val="00C616C9"/>
    <w:rsid w:val="00E53E37"/>
    <w:rsid w:val="00F87A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6C9D3A"/>
  <w15:docId w15:val="{EA864C4C-668B-448A-B975-D389D04B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sz w:val="21"/>
        <w:szCs w:val="21"/>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53E37"/>
    <w:pPr>
      <w:tabs>
        <w:tab w:val="center" w:pos="4680"/>
        <w:tab w:val="right" w:pos="9360"/>
      </w:tabs>
    </w:pPr>
  </w:style>
  <w:style w:type="character" w:customStyle="1" w:styleId="HeaderChar">
    <w:name w:val="Header Char"/>
    <w:basedOn w:val="DefaultParagraphFont"/>
    <w:link w:val="Header"/>
    <w:uiPriority w:val="99"/>
    <w:rsid w:val="00E53E37"/>
  </w:style>
  <w:style w:type="paragraph" w:styleId="Footer">
    <w:name w:val="footer"/>
    <w:basedOn w:val="Normal"/>
    <w:link w:val="FooterChar"/>
    <w:uiPriority w:val="99"/>
    <w:unhideWhenUsed/>
    <w:rsid w:val="00E53E37"/>
    <w:pPr>
      <w:tabs>
        <w:tab w:val="center" w:pos="4680"/>
        <w:tab w:val="right" w:pos="9360"/>
      </w:tabs>
    </w:pPr>
  </w:style>
  <w:style w:type="character" w:customStyle="1" w:styleId="FooterChar">
    <w:name w:val="Footer Char"/>
    <w:basedOn w:val="DefaultParagraphFont"/>
    <w:link w:val="Footer"/>
    <w:uiPriority w:val="99"/>
    <w:rsid w:val="00E53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A70C6EB38A0048AEA9CD09F5CE3897" ma:contentTypeVersion="18" ma:contentTypeDescription="Create a new document." ma:contentTypeScope="" ma:versionID="0f882598ea482b4c6e1cbeca406fd7f9">
  <xsd:schema xmlns:xsd="http://www.w3.org/2001/XMLSchema" xmlns:xs="http://www.w3.org/2001/XMLSchema" xmlns:p="http://schemas.microsoft.com/office/2006/metadata/properties" xmlns:ns2="2893720b-1590-4a81-961a-e689abcac224" xmlns:ns3="9a6c6373-18b4-4cc1-9132-418983a1570e" targetNamespace="http://schemas.microsoft.com/office/2006/metadata/properties" ma:root="true" ma:fieldsID="83795620ca3d3471659f504b514bca54" ns2:_="" ns3:_="">
    <xsd:import namespace="2893720b-1590-4a81-961a-e689abcac224"/>
    <xsd:import namespace="9a6c6373-18b4-4cc1-9132-418983a157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93720b-1590-4a81-961a-e689abcac2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92e0a8-fadb-4c10-9caf-48168ac4bc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c6373-18b4-4cc1-9132-418983a157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f7493e9-b9e2-4dad-8f7e-782f883d760d}" ma:internalName="TaxCatchAll" ma:showField="CatchAllData" ma:web="9a6c6373-18b4-4cc1-9132-418983a15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a6c6373-18b4-4cc1-9132-418983a1570e">
      <UserInfo>
        <DisplayName/>
        <AccountId xsi:nil="true"/>
        <AccountType/>
      </UserInfo>
    </SharedWithUsers>
    <lcf76f155ced4ddcb4097134ff3c332f xmlns="2893720b-1590-4a81-961a-e689abcac224">
      <Terms xmlns="http://schemas.microsoft.com/office/infopath/2007/PartnerControls"/>
    </lcf76f155ced4ddcb4097134ff3c332f>
    <TaxCatchAll xmlns="9a6c6373-18b4-4cc1-9132-418983a1570e" xsi:nil="true"/>
  </documentManagement>
</p:properties>
</file>

<file path=customXml/itemProps1.xml><?xml version="1.0" encoding="utf-8"?>
<ds:datastoreItem xmlns:ds="http://schemas.openxmlformats.org/officeDocument/2006/customXml" ds:itemID="{12212489-ED81-4849-A9E4-206748B91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93720b-1590-4a81-961a-e689abcac224"/>
    <ds:schemaRef ds:uri="9a6c6373-18b4-4cc1-9132-418983a15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1C9C68-E69D-4C2B-836B-FF82F3474FF9}">
  <ds:schemaRefs>
    <ds:schemaRef ds:uri="http://schemas.microsoft.com/sharepoint/v3/contenttype/forms"/>
  </ds:schemaRefs>
</ds:datastoreItem>
</file>

<file path=customXml/itemProps3.xml><?xml version="1.0" encoding="utf-8"?>
<ds:datastoreItem xmlns:ds="http://schemas.openxmlformats.org/officeDocument/2006/customXml" ds:itemID="{FC603948-77D6-4CF7-9E16-6BF6484C1A28}">
  <ds:schemaRefs>
    <ds:schemaRef ds:uri="http://schemas.microsoft.com/office/2006/metadata/properties"/>
    <ds:schemaRef ds:uri="http://schemas.microsoft.com/office/infopath/2007/PartnerControls"/>
    <ds:schemaRef ds:uri="9a6c6373-18b4-4cc1-9132-418983a1570e"/>
    <ds:schemaRef ds:uri="2893720b-1590-4a81-961a-e689abcac22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1195</Words>
  <Characters>6813</Characters>
  <Application>Microsoft Office Word</Application>
  <DocSecurity>4</DocSecurity>
  <Lines>56</Lines>
  <Paragraphs>15</Paragraphs>
  <ScaleCrop>false</ScaleCrop>
  <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Kerns, Maurie</cp:lastModifiedBy>
  <cp:revision>2</cp:revision>
  <dcterms:created xsi:type="dcterms:W3CDTF">2026-10-01T18:30:00Z</dcterms:created>
  <dcterms:modified xsi:type="dcterms:W3CDTF">2026-10-01T18:30:00Z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0x01010053A70C6EB38A0048AEA9CD09F5CE3897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