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D849" w14:textId="77777777" w:rsidR="00596789" w:rsidRPr="00161DAA" w:rsidRDefault="00596789" w:rsidP="009B29C0">
      <w:pPr>
        <w:ind w:left="0"/>
        <w:jc w:val="center"/>
        <w:rPr>
          <w:rFonts w:asciiTheme="minorHAnsi" w:hAnsiTheme="minorHAnsi" w:cstheme="minorHAnsi"/>
          <w:b/>
        </w:rPr>
      </w:pPr>
      <w:r w:rsidRPr="00161DAA">
        <w:rPr>
          <w:rFonts w:asciiTheme="minorHAnsi" w:hAnsiTheme="minorHAnsi" w:cstheme="minorHAnsi"/>
          <w:b/>
        </w:rPr>
        <w:t>CLOVER PARK TECHNICAL COLLEGE</w:t>
      </w:r>
    </w:p>
    <w:p w14:paraId="4E1A6919" w14:textId="6383A3FB" w:rsidR="00596789" w:rsidRPr="00161DAA" w:rsidRDefault="000613F5" w:rsidP="009B29C0">
      <w:pPr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ELECTRONIC SIGNATURE </w:t>
      </w:r>
      <w:r w:rsidR="00B213FC">
        <w:rPr>
          <w:rFonts w:asciiTheme="minorHAnsi" w:hAnsiTheme="minorHAnsi" w:cstheme="minorHAnsi"/>
          <w:b/>
        </w:rPr>
        <w:t>PROCEDURE</w:t>
      </w:r>
    </w:p>
    <w:p w14:paraId="663EB23B" w14:textId="77777777" w:rsidR="00596789" w:rsidRPr="00161DAA" w:rsidRDefault="00596789" w:rsidP="009B29C0">
      <w:pPr>
        <w:ind w:left="0"/>
        <w:jc w:val="center"/>
        <w:rPr>
          <w:rFonts w:asciiTheme="minorHAnsi" w:hAnsiTheme="minorHAnsi" w:cstheme="minorHAnsi"/>
          <w:b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260"/>
        <w:gridCol w:w="3600"/>
        <w:gridCol w:w="1980"/>
        <w:gridCol w:w="1940"/>
      </w:tblGrid>
      <w:tr w:rsidR="00A65022" w:rsidRPr="00161DAA" w14:paraId="7D025328" w14:textId="77777777" w:rsidTr="0093617D">
        <w:trPr>
          <w:jc w:val="center"/>
        </w:trPr>
        <w:tc>
          <w:tcPr>
            <w:tcW w:w="1160" w:type="dxa"/>
            <w:shd w:val="clear" w:color="auto" w:fill="E0E0E0"/>
          </w:tcPr>
          <w:p w14:paraId="0E486C96" w14:textId="77777777" w:rsidR="00596789" w:rsidRPr="00161DAA" w:rsidRDefault="00596789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61DAA">
              <w:rPr>
                <w:rFonts w:asciiTheme="minorHAnsi" w:hAnsiTheme="minorHAnsi" w:cstheme="minorHAnsi"/>
                <w:b/>
              </w:rPr>
              <w:t>CHAPTER</w:t>
            </w:r>
          </w:p>
        </w:tc>
        <w:tc>
          <w:tcPr>
            <w:tcW w:w="1260" w:type="dxa"/>
            <w:shd w:val="clear" w:color="auto" w:fill="E0E0E0"/>
          </w:tcPr>
          <w:p w14:paraId="0B7A603B" w14:textId="77777777" w:rsidR="00596789" w:rsidRPr="00161DAA" w:rsidRDefault="00596789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61DAA">
              <w:rPr>
                <w:rFonts w:asciiTheme="minorHAnsi" w:hAnsiTheme="minorHAnsi" w:cstheme="minorHAnsi"/>
                <w:b/>
              </w:rPr>
              <w:t>SECTION</w:t>
            </w:r>
          </w:p>
        </w:tc>
        <w:tc>
          <w:tcPr>
            <w:tcW w:w="3600" w:type="dxa"/>
            <w:shd w:val="clear" w:color="auto" w:fill="E0E0E0"/>
          </w:tcPr>
          <w:p w14:paraId="70CA7193" w14:textId="77777777" w:rsidR="00596789" w:rsidRPr="00161DAA" w:rsidRDefault="00596789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61DAA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3920" w:type="dxa"/>
            <w:gridSpan w:val="2"/>
            <w:shd w:val="clear" w:color="auto" w:fill="E0E0E0"/>
          </w:tcPr>
          <w:p w14:paraId="217412CF" w14:textId="77777777" w:rsidR="00596789" w:rsidRPr="00161DAA" w:rsidRDefault="00596789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61DAA">
              <w:rPr>
                <w:rFonts w:asciiTheme="minorHAnsi" w:hAnsiTheme="minorHAnsi" w:cstheme="minorHAnsi"/>
                <w:b/>
              </w:rPr>
              <w:t>HISTORY</w:t>
            </w:r>
          </w:p>
        </w:tc>
      </w:tr>
      <w:tr w:rsidR="0093617D" w:rsidRPr="00161DAA" w14:paraId="7F28F741" w14:textId="77777777" w:rsidTr="0093617D">
        <w:trPr>
          <w:trHeight w:val="624"/>
          <w:jc w:val="center"/>
        </w:trPr>
        <w:tc>
          <w:tcPr>
            <w:tcW w:w="1160" w:type="dxa"/>
            <w:vMerge w:val="restart"/>
          </w:tcPr>
          <w:p w14:paraId="5D3D1C11" w14:textId="393B740B" w:rsidR="0093617D" w:rsidRPr="00161DAA" w:rsidRDefault="004751BE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260" w:type="dxa"/>
            <w:vMerge w:val="restart"/>
          </w:tcPr>
          <w:p w14:paraId="0C6A9FCE" w14:textId="50E46CBD" w:rsidR="0093617D" w:rsidRPr="00161DAA" w:rsidRDefault="004751BE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35P</w:t>
            </w:r>
          </w:p>
        </w:tc>
        <w:tc>
          <w:tcPr>
            <w:tcW w:w="3600" w:type="dxa"/>
            <w:vMerge w:val="restart"/>
          </w:tcPr>
          <w:p w14:paraId="71815D54" w14:textId="3020733D" w:rsidR="0093617D" w:rsidRPr="00161DAA" w:rsidRDefault="009B42DA" w:rsidP="00E951DF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Electronic Signature Procedure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AE641E6" w14:textId="77777777" w:rsidR="0093617D" w:rsidRPr="00161DAA" w:rsidRDefault="0093617D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61DAA">
              <w:rPr>
                <w:rFonts w:asciiTheme="minorHAnsi" w:hAnsiTheme="minorHAnsi" w:cstheme="minorHAnsi"/>
                <w:b/>
              </w:rPr>
              <w:t>Adopted</w:t>
            </w:r>
          </w:p>
          <w:p w14:paraId="3E7ADB10" w14:textId="77777777" w:rsidR="0093617D" w:rsidRPr="00161DAA" w:rsidRDefault="0093617D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(date)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0A32CBBC" w14:textId="77777777" w:rsidR="0093617D" w:rsidRDefault="0093617D" w:rsidP="00A65022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Reviewed</w:t>
            </w:r>
          </w:p>
          <w:p w14:paraId="59BE9362" w14:textId="77777777" w:rsidR="0093617D" w:rsidRPr="00161DAA" w:rsidRDefault="0093617D" w:rsidP="00A65022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(date)</w:t>
            </w:r>
          </w:p>
        </w:tc>
      </w:tr>
      <w:tr w:rsidR="0093617D" w:rsidRPr="00161DAA" w14:paraId="5F591373" w14:textId="77777777" w:rsidTr="0093617D">
        <w:trPr>
          <w:trHeight w:val="243"/>
          <w:jc w:val="center"/>
        </w:trPr>
        <w:tc>
          <w:tcPr>
            <w:tcW w:w="1160" w:type="dxa"/>
            <w:vMerge/>
          </w:tcPr>
          <w:p w14:paraId="61A284F4" w14:textId="77777777" w:rsidR="0093617D" w:rsidRPr="00161DAA" w:rsidRDefault="0093617D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0" w:type="dxa"/>
            <w:vMerge/>
          </w:tcPr>
          <w:p w14:paraId="32D366B9" w14:textId="77777777" w:rsidR="0093617D" w:rsidRPr="00161DAA" w:rsidRDefault="0093617D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/>
          </w:tcPr>
          <w:p w14:paraId="73189820" w14:textId="77777777" w:rsidR="0093617D" w:rsidRPr="00161DAA" w:rsidRDefault="0093617D" w:rsidP="00E951DF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1910A6D" w14:textId="77777777" w:rsidR="0093617D" w:rsidRDefault="0093617D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Revised</w:t>
            </w:r>
          </w:p>
          <w:p w14:paraId="0449A263" w14:textId="77777777" w:rsidR="0093617D" w:rsidRPr="00161DAA" w:rsidRDefault="0093617D" w:rsidP="009B29C0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(date)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14:paraId="17E75894" w14:textId="77777777" w:rsidR="0093617D" w:rsidRDefault="0093617D" w:rsidP="00A65022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Next review</w:t>
            </w:r>
          </w:p>
          <w:p w14:paraId="213DEA7A" w14:textId="77777777" w:rsidR="0093617D" w:rsidRDefault="0093617D" w:rsidP="00A65022">
            <w:pPr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(date)</w:t>
            </w:r>
          </w:p>
        </w:tc>
      </w:tr>
    </w:tbl>
    <w:p w14:paraId="774C0767" w14:textId="77777777" w:rsidR="00596789" w:rsidRPr="00161DAA" w:rsidRDefault="00596789" w:rsidP="009B29C0">
      <w:pPr>
        <w:ind w:left="0"/>
        <w:rPr>
          <w:rFonts w:asciiTheme="minorHAnsi" w:hAnsiTheme="minorHAnsi" w:cstheme="minorHAnsi"/>
        </w:rPr>
      </w:pPr>
    </w:p>
    <w:p w14:paraId="6C56E491" w14:textId="229750A7" w:rsidR="00E1560C" w:rsidRDefault="00B213FC" w:rsidP="00E1560C">
      <w:pPr>
        <w:ind w:left="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PROCEDURE</w:t>
      </w:r>
    </w:p>
    <w:p w14:paraId="33B1CF16" w14:textId="04CAE97C" w:rsidR="00E1560C" w:rsidRDefault="00E1560C" w:rsidP="00E1560C">
      <w:pPr>
        <w:ind w:left="0"/>
        <w:rPr>
          <w:rFonts w:asciiTheme="minorHAnsi" w:hAnsiTheme="minorHAnsi" w:cstheme="minorHAnsi"/>
          <w:b/>
          <w:u w:val="single"/>
        </w:rPr>
      </w:pPr>
    </w:p>
    <w:p w14:paraId="776BE3A1" w14:textId="1A44B8E7" w:rsidR="00E1560C" w:rsidRDefault="00E1560C" w:rsidP="00E1560C">
      <w:pPr>
        <w:ind w:left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Purpose: </w:t>
      </w:r>
    </w:p>
    <w:p w14:paraId="15B044C2" w14:textId="657F0AF5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The purpose of these procedures is to make sure that </w:t>
      </w:r>
      <w:r w:rsidR="009B42DA">
        <w:rPr>
          <w:rFonts w:ascii="Calibri" w:eastAsia="Calibri" w:hAnsi="Calibri" w:cs="Calibri"/>
          <w:color w:val="000000"/>
          <w:sz w:val="22"/>
          <w:szCs w:val="22"/>
        </w:rPr>
        <w:t>Clover Park Technical College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9B42DA">
        <w:rPr>
          <w:rFonts w:ascii="Calibri" w:eastAsia="Calibri" w:hAnsi="Calibri" w:cs="Calibri"/>
          <w:color w:val="000000"/>
          <w:sz w:val="22"/>
          <w:szCs w:val="22"/>
        </w:rPr>
        <w:t>CPTC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) follows a consistent, controlled, and scalable process for approving and implementing specific electronic signatures and submissions (solutions) for processes and transaction types. </w:t>
      </w:r>
    </w:p>
    <w:p w14:paraId="118200F1" w14:textId="77777777" w:rsidR="000613F5" w:rsidRDefault="000613F5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264A8FAF" w14:textId="63C82D62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Steps: </w:t>
      </w:r>
    </w:p>
    <w:p w14:paraId="1576F1D0" w14:textId="1AE63F16" w:rsidR="00E1560C" w:rsidRPr="00E1560C" w:rsidRDefault="00E1560C" w:rsidP="00E1560C">
      <w:pPr>
        <w:autoSpaceDE w:val="0"/>
        <w:autoSpaceDN w:val="0"/>
        <w:adjustRightInd w:val="0"/>
        <w:spacing w:after="18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1. When a department intends to use and accept electronic signatures to authenticate electronic transactions, the supervisor shall submit a request to review the form or process to the Vice President 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 xml:space="preserve">for Finance &amp; 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>Administrati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>on (VPFA)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. The request shall include: </w:t>
      </w:r>
    </w:p>
    <w:p w14:paraId="0F2765BF" w14:textId="77777777" w:rsidR="00E1560C" w:rsidRPr="00E1560C" w:rsidRDefault="00E1560C" w:rsidP="00950B05">
      <w:pPr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a description of the process or transaction </w:t>
      </w:r>
    </w:p>
    <w:p w14:paraId="7577182A" w14:textId="77777777" w:rsidR="00E1560C" w:rsidRPr="00E1560C" w:rsidRDefault="00E1560C" w:rsidP="00950B05">
      <w:pPr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any exceptions within the process/transaction </w:t>
      </w:r>
    </w:p>
    <w:p w14:paraId="74E703E8" w14:textId="77777777" w:rsidR="00E1560C" w:rsidRPr="00E1560C" w:rsidRDefault="00E1560C" w:rsidP="00950B05">
      <w:pPr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the person responsible for the confidentiality, integrity, and availability (including retention) of any information collected </w:t>
      </w:r>
    </w:p>
    <w:p w14:paraId="5D8DD6D6" w14:textId="77777777" w:rsidR="00E1560C" w:rsidRPr="00E1560C" w:rsidRDefault="00E1560C" w:rsidP="00950B05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whether a budget or resources have been approved for a solution </w:t>
      </w:r>
    </w:p>
    <w:p w14:paraId="2577BDD0" w14:textId="77777777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p w14:paraId="7DB9A7E1" w14:textId="46058D36" w:rsidR="00E1560C" w:rsidRPr="00E1560C" w:rsidRDefault="00E1560C" w:rsidP="00E1560C">
      <w:pPr>
        <w:autoSpaceDE w:val="0"/>
        <w:autoSpaceDN w:val="0"/>
        <w:adjustRightInd w:val="0"/>
        <w:spacing w:after="18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2. The Vice President 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>for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B4E4D">
        <w:rPr>
          <w:rFonts w:ascii="Calibri" w:eastAsia="Calibri" w:hAnsi="Calibri" w:cs="Calibri"/>
          <w:color w:val="000000"/>
          <w:sz w:val="22"/>
          <w:szCs w:val="22"/>
        </w:rPr>
        <w:t xml:space="preserve">Finance &amp; 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>Administrati</w:t>
      </w:r>
      <w:r w:rsidR="003B4E4D">
        <w:rPr>
          <w:rFonts w:ascii="Calibri" w:eastAsia="Calibri" w:hAnsi="Calibri" w:cs="Calibri"/>
          <w:color w:val="000000"/>
          <w:sz w:val="22"/>
          <w:szCs w:val="22"/>
        </w:rPr>
        <w:t>on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 in consultation with the </w:t>
      </w:r>
      <w:r w:rsidR="003B4E4D">
        <w:rPr>
          <w:rFonts w:ascii="Calibri" w:eastAsia="Calibri" w:hAnsi="Calibri" w:cs="Calibri"/>
          <w:color w:val="000000"/>
          <w:sz w:val="22"/>
          <w:szCs w:val="22"/>
        </w:rPr>
        <w:t xml:space="preserve">Executive 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Director of IT 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>(EDIT)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 shall review electronic signature solution requests and assess whether implementing a solution will: </w:t>
      </w:r>
    </w:p>
    <w:p w14:paraId="566A6257" w14:textId="77777777" w:rsidR="00E1560C" w:rsidRPr="00E1560C" w:rsidRDefault="00E1560C" w:rsidP="00950B05">
      <w:pPr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enhance the experience of customers or stakeholders, or </w:t>
      </w:r>
    </w:p>
    <w:p w14:paraId="4A4B8A55" w14:textId="77777777" w:rsidR="00E1560C" w:rsidRPr="00E1560C" w:rsidRDefault="00E1560C" w:rsidP="00950B05">
      <w:pPr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provide efficiency benefits, or </w:t>
      </w:r>
    </w:p>
    <w:p w14:paraId="4F06B9D7" w14:textId="77777777" w:rsidR="00E1560C" w:rsidRPr="00E1560C" w:rsidRDefault="00E1560C" w:rsidP="00950B05">
      <w:pPr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save costs of doing business (better, faster, cheaper), or </w:t>
      </w:r>
    </w:p>
    <w:p w14:paraId="50145A93" w14:textId="77777777" w:rsidR="00E1560C" w:rsidRPr="00E1560C" w:rsidRDefault="00E1560C" w:rsidP="00950B05">
      <w:pPr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maintain strong internal controls </w:t>
      </w:r>
    </w:p>
    <w:p w14:paraId="37E3A1B4" w14:textId="77777777" w:rsidR="00E1560C" w:rsidRPr="00E1560C" w:rsidRDefault="00E1560C" w:rsidP="00950B05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complete a risk assessment </w:t>
      </w:r>
    </w:p>
    <w:p w14:paraId="32BF4A3D" w14:textId="77777777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p w14:paraId="6F8FC373" w14:textId="14972691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3. If an electronic signature request meets approval criteria, the </w:t>
      </w:r>
      <w:r w:rsidR="003B4E4D">
        <w:rPr>
          <w:rFonts w:ascii="Calibri" w:eastAsia="Calibri" w:hAnsi="Calibri" w:cs="Calibri"/>
          <w:color w:val="000000"/>
          <w:sz w:val="22"/>
          <w:szCs w:val="22"/>
        </w:rPr>
        <w:t xml:space="preserve">Executive 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Director of IT shall 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>meet with the VPFA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 for review and recommendation. If the request does not meet approval criteria, the 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>EDIT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 shall inform the requester. </w:t>
      </w:r>
    </w:p>
    <w:p w14:paraId="794A02F1" w14:textId="77777777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p w14:paraId="275FD49C" w14:textId="4F08F5AD" w:rsidR="00E1560C" w:rsidRPr="00E1560C" w:rsidRDefault="00E1560C" w:rsidP="00E1560C">
      <w:pPr>
        <w:autoSpaceDE w:val="0"/>
        <w:autoSpaceDN w:val="0"/>
        <w:adjustRightInd w:val="0"/>
        <w:spacing w:after="18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4. 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0613F5"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he 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 xml:space="preserve">Executive </w:t>
      </w:r>
      <w:r w:rsidR="000613F5"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Director of IT 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shall review the initial assessment and, in consultation with 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>the VPFA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, perform a business analysis and risk assessment based on the model risk assessment </w:t>
      </w:r>
      <w:r w:rsidR="003B4E4D">
        <w:rPr>
          <w:rFonts w:ascii="Calibri" w:eastAsia="Calibri" w:hAnsi="Calibri" w:cs="Calibri"/>
          <w:color w:val="000000"/>
          <w:sz w:val="22"/>
          <w:szCs w:val="22"/>
        </w:rPr>
        <w:t xml:space="preserve">(Appendix </w:t>
      </w:r>
      <w:r w:rsidR="007A4B44">
        <w:rPr>
          <w:rFonts w:ascii="Calibri" w:eastAsia="Calibri" w:hAnsi="Calibri" w:cs="Calibri"/>
          <w:color w:val="000000"/>
          <w:sz w:val="22"/>
          <w:szCs w:val="22"/>
        </w:rPr>
        <w:t>B</w:t>
      </w:r>
      <w:r w:rsidR="003B4E4D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to determine: </w:t>
      </w:r>
    </w:p>
    <w:p w14:paraId="226C1E4B" w14:textId="77777777" w:rsidR="00E1560C" w:rsidRPr="00E1560C" w:rsidRDefault="00E1560C" w:rsidP="00950B05">
      <w:pPr>
        <w:autoSpaceDE w:val="0"/>
        <w:autoSpaceDN w:val="0"/>
        <w:adjustRightInd w:val="0"/>
        <w:spacing w:after="18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whether an electronic signature solution is acceptable </w:t>
      </w:r>
    </w:p>
    <w:p w14:paraId="28D2F0E0" w14:textId="77777777" w:rsidR="00E1560C" w:rsidRPr="00E1560C" w:rsidRDefault="00E1560C" w:rsidP="00950B05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what method or approach should be used to validate an electronic signature </w:t>
      </w:r>
    </w:p>
    <w:p w14:paraId="3F6F7BBF" w14:textId="77777777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p w14:paraId="32EB14F8" w14:textId="5945FA38" w:rsidR="00E1560C" w:rsidRPr="00E1560C" w:rsidRDefault="00E1560C" w:rsidP="00E1560C">
      <w:pPr>
        <w:autoSpaceDE w:val="0"/>
        <w:autoSpaceDN w:val="0"/>
        <w:adjustRightInd w:val="0"/>
        <w:spacing w:after="18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5. If 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 xml:space="preserve">the VPFA 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approves the electronic signature request, the </w:t>
      </w:r>
      <w:r w:rsidR="003B4E4D">
        <w:rPr>
          <w:rFonts w:ascii="Calibri" w:eastAsia="Calibri" w:hAnsi="Calibri" w:cs="Calibri"/>
          <w:color w:val="000000"/>
          <w:sz w:val="22"/>
          <w:szCs w:val="22"/>
        </w:rPr>
        <w:t xml:space="preserve">Executive 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Director of IT Services shall: </w:t>
      </w:r>
    </w:p>
    <w:p w14:paraId="7F904BFA" w14:textId="2BED6BE3" w:rsidR="00E1560C" w:rsidRPr="00E1560C" w:rsidRDefault="00E1560C" w:rsidP="003B4E4D">
      <w:pPr>
        <w:autoSpaceDE w:val="0"/>
        <w:autoSpaceDN w:val="0"/>
        <w:adjustRightInd w:val="0"/>
        <w:spacing w:after="18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p w14:paraId="5DBFA683" w14:textId="77777777" w:rsidR="00E1560C" w:rsidRPr="00E1560C" w:rsidRDefault="00E1560C" w:rsidP="00950B05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● determine the resources and costs required to implement a solution at the recommended level of security </w:t>
      </w:r>
    </w:p>
    <w:p w14:paraId="1C63D0A0" w14:textId="77777777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p w14:paraId="155D9FBF" w14:textId="31698275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6. If the solution can be implemented using existing resources, its implementation shall be scheduled through the technology </w:t>
      </w:r>
      <w:r w:rsidR="003B4E4D">
        <w:rPr>
          <w:rFonts w:ascii="Calibri" w:eastAsia="Calibri" w:hAnsi="Calibri" w:cs="Calibri"/>
          <w:color w:val="000000"/>
          <w:sz w:val="22"/>
          <w:szCs w:val="22"/>
        </w:rPr>
        <w:t xml:space="preserve">request 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prioritization process. </w:t>
      </w:r>
    </w:p>
    <w:p w14:paraId="43C62E37" w14:textId="77777777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p w14:paraId="24E7C6EE" w14:textId="624BB82E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E1560C">
        <w:rPr>
          <w:rFonts w:ascii="Calibri" w:eastAsia="Calibri" w:hAnsi="Calibri" w:cs="Calibri"/>
          <w:color w:val="000000"/>
          <w:sz w:val="22"/>
          <w:szCs w:val="22"/>
        </w:rPr>
        <w:t>7. If additional resources are required for implementation, the request</w:t>
      </w:r>
      <w:r w:rsidR="000613F5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E1560C">
        <w:rPr>
          <w:rFonts w:ascii="Calibri" w:eastAsia="Calibri" w:hAnsi="Calibri" w:cs="Calibri"/>
          <w:color w:val="000000"/>
          <w:sz w:val="22"/>
          <w:szCs w:val="22"/>
        </w:rPr>
        <w:t xml:space="preserve">r must secure those resources before the solution is prioritized, purchased or procured, or scheduled for implementation. </w:t>
      </w:r>
    </w:p>
    <w:p w14:paraId="6AC74EDB" w14:textId="77777777" w:rsidR="00E1560C" w:rsidRPr="00E1560C" w:rsidRDefault="00E1560C" w:rsidP="00E1560C">
      <w:pPr>
        <w:autoSpaceDE w:val="0"/>
        <w:autoSpaceDN w:val="0"/>
        <w:adjustRightInd w:val="0"/>
        <w:ind w:left="0"/>
        <w:rPr>
          <w:rFonts w:ascii="Calibri" w:eastAsia="Calibri" w:hAnsi="Calibri" w:cs="Calibri"/>
          <w:color w:val="000000"/>
          <w:sz w:val="22"/>
          <w:szCs w:val="22"/>
        </w:rPr>
      </w:pPr>
    </w:p>
    <w:p w14:paraId="59763F1F" w14:textId="7B2922D0" w:rsidR="00E1560C" w:rsidRPr="00E1560C" w:rsidRDefault="00E1560C" w:rsidP="00E1560C">
      <w:pPr>
        <w:ind w:left="0"/>
        <w:rPr>
          <w:rFonts w:asciiTheme="minorHAnsi" w:hAnsiTheme="minorHAnsi" w:cstheme="minorHAnsi"/>
          <w:bCs/>
        </w:rPr>
      </w:pPr>
      <w:r w:rsidRPr="00E1560C">
        <w:rPr>
          <w:rFonts w:ascii="Calibri" w:eastAsia="Calibri" w:hAnsi="Calibri" w:cs="Calibri"/>
          <w:b/>
          <w:bCs/>
          <w:color w:val="000000"/>
          <w:sz w:val="22"/>
          <w:szCs w:val="22"/>
        </w:rPr>
        <w:t>Resources:</w:t>
      </w:r>
    </w:p>
    <w:p w14:paraId="40995FAB" w14:textId="7EA0B9C3" w:rsidR="00E1560C" w:rsidRDefault="007A4B44" w:rsidP="00E1560C">
      <w:pPr>
        <w:ind w:left="0"/>
      </w:pPr>
      <w:r w:rsidRPr="00CB1B18">
        <w:t xml:space="preserve">Appendix A:  </w:t>
      </w:r>
      <w:r>
        <w:t>Sample request for an electronic signature</w:t>
      </w:r>
    </w:p>
    <w:p w14:paraId="770366C5" w14:textId="588A9A5C" w:rsidR="00E27C64" w:rsidRDefault="00E27C64" w:rsidP="00E1560C">
      <w:pPr>
        <w:ind w:left="0"/>
        <w:rPr>
          <w:rFonts w:asciiTheme="minorHAnsi" w:hAnsiTheme="minorHAnsi" w:cstheme="minorHAnsi"/>
          <w:b/>
          <w:u w:val="single"/>
        </w:rPr>
      </w:pPr>
      <w:r>
        <w:t>Appendix B:  Sample risk analysis for electronic signatures</w:t>
      </w:r>
    </w:p>
    <w:p w14:paraId="3E8C8DDB" w14:textId="42DED984" w:rsidR="0002756D" w:rsidRDefault="0002756D" w:rsidP="00D945EA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A4B7631" w14:textId="3C021C74" w:rsidR="00E1560C" w:rsidRDefault="00E1560C" w:rsidP="00D945EA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80A6249" w14:textId="016963B0" w:rsidR="00E1560C" w:rsidRDefault="00E1560C" w:rsidP="00D945EA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3221042" w14:textId="0CD68C19" w:rsidR="00E1560C" w:rsidRDefault="00E1560C" w:rsidP="00D945EA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DC94B0A" w14:textId="4E507BB3" w:rsidR="00E1560C" w:rsidRDefault="00E1560C" w:rsidP="00D945EA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0A65D4B" w14:textId="0955C2DE" w:rsidR="00E1560C" w:rsidRDefault="00E1560C" w:rsidP="00D945EA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A21701A" w14:textId="77777777" w:rsidR="00E1560C" w:rsidRPr="00053381" w:rsidRDefault="00E1560C" w:rsidP="00D945EA">
      <w:pPr>
        <w:pStyle w:val="ListParagraph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12ACF6B" w14:textId="77777777" w:rsidR="00E951DF" w:rsidRPr="00053381" w:rsidRDefault="00E951DF" w:rsidP="00E951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2070"/>
        <w:rPr>
          <w:rFonts w:asciiTheme="minorHAnsi" w:hAnsiTheme="minorHAnsi" w:cstheme="minorHAnsi"/>
        </w:rPr>
      </w:pPr>
      <w:r w:rsidRPr="00053381">
        <w:rPr>
          <w:rFonts w:asciiTheme="minorHAnsi" w:hAnsiTheme="minorHAnsi" w:cstheme="minorHAnsi"/>
        </w:rPr>
        <w:t>APPROVAL:</w:t>
      </w:r>
    </w:p>
    <w:p w14:paraId="526412F0" w14:textId="77777777" w:rsidR="00E951DF" w:rsidRPr="00053381" w:rsidRDefault="00E951DF" w:rsidP="00E951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2070"/>
        <w:rPr>
          <w:rFonts w:asciiTheme="minorHAnsi" w:hAnsiTheme="minorHAnsi" w:cstheme="minorHAnsi"/>
          <w:u w:val="single"/>
        </w:rPr>
      </w:pPr>
      <w:r w:rsidRPr="00053381">
        <w:rPr>
          <w:rFonts w:asciiTheme="minorHAnsi" w:hAnsiTheme="minorHAnsi" w:cstheme="minorHAnsi"/>
        </w:rPr>
        <w:t xml:space="preserve">By: </w:t>
      </w:r>
      <w:r w:rsidRPr="00053381">
        <w:rPr>
          <w:rFonts w:asciiTheme="minorHAnsi" w:hAnsiTheme="minorHAnsi" w:cstheme="minorHAnsi"/>
          <w:u w:val="single"/>
        </w:rPr>
        <w:tab/>
      </w:r>
      <w:r w:rsidRPr="00053381">
        <w:rPr>
          <w:rFonts w:asciiTheme="minorHAnsi" w:hAnsiTheme="minorHAnsi" w:cstheme="minorHAnsi"/>
          <w:u w:val="single"/>
        </w:rPr>
        <w:tab/>
      </w:r>
      <w:r w:rsidRPr="00053381">
        <w:rPr>
          <w:rFonts w:asciiTheme="minorHAnsi" w:hAnsiTheme="minorHAnsi" w:cstheme="minorHAnsi"/>
          <w:u w:val="single"/>
        </w:rPr>
        <w:tab/>
      </w:r>
      <w:r w:rsidRPr="00053381">
        <w:rPr>
          <w:rFonts w:asciiTheme="minorHAnsi" w:hAnsiTheme="minorHAnsi" w:cstheme="minorHAnsi"/>
          <w:u w:val="single"/>
        </w:rPr>
        <w:tab/>
      </w:r>
      <w:r w:rsidRPr="00053381">
        <w:rPr>
          <w:rFonts w:asciiTheme="minorHAnsi" w:hAnsiTheme="minorHAnsi" w:cstheme="minorHAnsi"/>
          <w:u w:val="single"/>
        </w:rPr>
        <w:tab/>
      </w:r>
      <w:r w:rsidRPr="00053381">
        <w:rPr>
          <w:rFonts w:asciiTheme="minorHAnsi" w:hAnsiTheme="minorHAnsi" w:cstheme="minorHAnsi"/>
          <w:u w:val="single"/>
        </w:rPr>
        <w:tab/>
      </w:r>
      <w:r w:rsidRPr="00053381">
        <w:rPr>
          <w:rFonts w:asciiTheme="minorHAnsi" w:hAnsiTheme="minorHAnsi" w:cstheme="minorHAnsi"/>
        </w:rPr>
        <w:tab/>
        <w:t>Date:</w:t>
      </w:r>
      <w:r w:rsidRPr="00053381">
        <w:rPr>
          <w:rFonts w:asciiTheme="minorHAnsi" w:hAnsiTheme="minorHAnsi" w:cstheme="minorHAnsi"/>
          <w:u w:val="single"/>
        </w:rPr>
        <w:tab/>
      </w:r>
      <w:r w:rsidRPr="00053381">
        <w:rPr>
          <w:rFonts w:asciiTheme="minorHAnsi" w:hAnsiTheme="minorHAnsi" w:cstheme="minorHAnsi"/>
          <w:u w:val="single"/>
        </w:rPr>
        <w:tab/>
      </w:r>
    </w:p>
    <w:p w14:paraId="64375D92" w14:textId="4D16A0DD" w:rsidR="00E951DF" w:rsidRPr="00053381" w:rsidRDefault="00E951DF" w:rsidP="00E951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2070"/>
        <w:rPr>
          <w:rFonts w:asciiTheme="minorHAnsi" w:hAnsiTheme="minorHAnsi" w:cstheme="minorHAnsi"/>
        </w:rPr>
      </w:pPr>
      <w:r w:rsidRPr="00053381">
        <w:rPr>
          <w:rFonts w:asciiTheme="minorHAnsi" w:hAnsiTheme="minorHAnsi" w:cstheme="minorHAnsi"/>
        </w:rPr>
        <w:t xml:space="preserve">       </w:t>
      </w:r>
      <w:r w:rsidR="00BB4DE6">
        <w:rPr>
          <w:rFonts w:asciiTheme="minorHAnsi" w:hAnsiTheme="minorHAnsi" w:cstheme="minorHAnsi"/>
        </w:rPr>
        <w:t xml:space="preserve">Vice President </w:t>
      </w:r>
      <w:r w:rsidR="00AC307F">
        <w:rPr>
          <w:rFonts w:asciiTheme="minorHAnsi" w:hAnsiTheme="minorHAnsi" w:cstheme="minorHAnsi"/>
        </w:rPr>
        <w:t>for Finance &amp; Administration</w:t>
      </w:r>
    </w:p>
    <w:p w14:paraId="3B0DA8D1" w14:textId="77777777" w:rsidR="00E951DF" w:rsidRPr="00053381" w:rsidRDefault="00E951DF" w:rsidP="00E951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2070"/>
        <w:rPr>
          <w:rFonts w:asciiTheme="minorHAnsi" w:hAnsiTheme="minorHAnsi" w:cstheme="minorHAnsi"/>
        </w:rPr>
      </w:pPr>
    </w:p>
    <w:p w14:paraId="161240A8" w14:textId="77777777" w:rsidR="004C6E77" w:rsidRPr="00053381" w:rsidRDefault="004C6E77" w:rsidP="00E951DF">
      <w:pPr>
        <w:ind w:hanging="720"/>
        <w:rPr>
          <w:rFonts w:asciiTheme="minorHAnsi" w:hAnsiTheme="minorHAnsi" w:cstheme="minorHAnsi"/>
        </w:rPr>
      </w:pPr>
    </w:p>
    <w:sectPr w:rsidR="004C6E77" w:rsidRPr="00053381" w:rsidSect="004C6E77">
      <w:footerReference w:type="default" r:id="rId7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AC08" w14:textId="77777777" w:rsidR="00E70FC9" w:rsidRDefault="00E70FC9" w:rsidP="00E02FC0">
      <w:r>
        <w:separator/>
      </w:r>
    </w:p>
  </w:endnote>
  <w:endnote w:type="continuationSeparator" w:id="0">
    <w:p w14:paraId="61402927" w14:textId="77777777" w:rsidR="00E70FC9" w:rsidRDefault="00E70FC9" w:rsidP="00E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201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A3944" w14:textId="77777777" w:rsidR="0002756D" w:rsidRDefault="00027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D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63BCD9" w14:textId="77777777" w:rsidR="0002756D" w:rsidRDefault="00027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D6E1" w14:textId="77777777" w:rsidR="00E70FC9" w:rsidRDefault="00E70FC9" w:rsidP="00E02FC0">
      <w:r>
        <w:separator/>
      </w:r>
    </w:p>
  </w:footnote>
  <w:footnote w:type="continuationSeparator" w:id="0">
    <w:p w14:paraId="6AD55C73" w14:textId="77777777" w:rsidR="00E70FC9" w:rsidRDefault="00E70FC9" w:rsidP="00E0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336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0" w:hanging="333"/>
      </w:pPr>
      <w:rPr>
        <w:rFonts w:ascii="Arial" w:hAnsi="Arial" w:cs="Arial"/>
        <w:b w:val="0"/>
        <w:bCs w:val="0"/>
        <w:spacing w:val="-2"/>
        <w:sz w:val="24"/>
        <w:szCs w:val="24"/>
      </w:rPr>
    </w:lvl>
    <w:lvl w:ilvl="2">
      <w:start w:val="1"/>
      <w:numFmt w:val="lowerRoman"/>
      <w:lvlText w:val="%3."/>
      <w:lvlJc w:val="left"/>
      <w:pPr>
        <w:ind w:left="1007" w:hanging="188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1007" w:hanging="188"/>
      </w:pPr>
    </w:lvl>
    <w:lvl w:ilvl="4">
      <w:numFmt w:val="bullet"/>
      <w:lvlText w:val="•"/>
      <w:lvlJc w:val="left"/>
      <w:pPr>
        <w:ind w:left="2223" w:hanging="188"/>
      </w:pPr>
    </w:lvl>
    <w:lvl w:ilvl="5">
      <w:numFmt w:val="bullet"/>
      <w:lvlText w:val="•"/>
      <w:lvlJc w:val="left"/>
      <w:pPr>
        <w:ind w:left="3439" w:hanging="188"/>
      </w:pPr>
    </w:lvl>
    <w:lvl w:ilvl="6">
      <w:numFmt w:val="bullet"/>
      <w:lvlText w:val="•"/>
      <w:lvlJc w:val="left"/>
      <w:pPr>
        <w:ind w:left="4655" w:hanging="188"/>
      </w:pPr>
    </w:lvl>
    <w:lvl w:ilvl="7">
      <w:numFmt w:val="bullet"/>
      <w:lvlText w:val="•"/>
      <w:lvlJc w:val="left"/>
      <w:pPr>
        <w:ind w:left="5871" w:hanging="188"/>
      </w:pPr>
    </w:lvl>
    <w:lvl w:ilvl="8">
      <w:numFmt w:val="bullet"/>
      <w:lvlText w:val="•"/>
      <w:lvlJc w:val="left"/>
      <w:pPr>
        <w:ind w:left="7087" w:hanging="188"/>
      </w:pPr>
    </w:lvl>
  </w:abstractNum>
  <w:abstractNum w:abstractNumId="1" w15:restartNumberingAfterBreak="0">
    <w:nsid w:val="1802458C"/>
    <w:multiLevelType w:val="hybridMultilevel"/>
    <w:tmpl w:val="BDB0AE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B67B3"/>
    <w:multiLevelType w:val="multilevel"/>
    <w:tmpl w:val="241E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F4A17"/>
    <w:multiLevelType w:val="multilevel"/>
    <w:tmpl w:val="49A0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95577"/>
    <w:multiLevelType w:val="hybridMultilevel"/>
    <w:tmpl w:val="0E1C91EE"/>
    <w:lvl w:ilvl="0" w:tplc="3BEE8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D3651C2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95458"/>
    <w:multiLevelType w:val="hybridMultilevel"/>
    <w:tmpl w:val="100E4B6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2B98129F"/>
    <w:multiLevelType w:val="multilevel"/>
    <w:tmpl w:val="21E01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5CC3"/>
    <w:multiLevelType w:val="multilevel"/>
    <w:tmpl w:val="BDF2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F46B0"/>
    <w:multiLevelType w:val="multilevel"/>
    <w:tmpl w:val="3B52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A0BA0"/>
    <w:multiLevelType w:val="hybridMultilevel"/>
    <w:tmpl w:val="15CC7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B28BB"/>
    <w:multiLevelType w:val="hybridMultilevel"/>
    <w:tmpl w:val="33CA5DE2"/>
    <w:lvl w:ilvl="0" w:tplc="F02C8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F2C21"/>
    <w:multiLevelType w:val="multilevel"/>
    <w:tmpl w:val="47EC7A18"/>
    <w:lvl w:ilvl="0">
      <w:start w:val="1"/>
      <w:numFmt w:val="bullet"/>
      <w:lvlText w:val=""/>
      <w:lvlJc w:val="left"/>
      <w:pPr>
        <w:ind w:left="100" w:hanging="336"/>
      </w:pPr>
      <w:rPr>
        <w:rFonts w:ascii="Symbol" w:hAnsi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00" w:hanging="333"/>
      </w:pPr>
      <w:rPr>
        <w:rFonts w:ascii="Arial" w:hAnsi="Arial" w:cs="Arial"/>
        <w:b w:val="0"/>
        <w:bCs w:val="0"/>
        <w:spacing w:val="-2"/>
        <w:sz w:val="24"/>
        <w:szCs w:val="24"/>
      </w:rPr>
    </w:lvl>
    <w:lvl w:ilvl="2">
      <w:start w:val="1"/>
      <w:numFmt w:val="lowerRoman"/>
      <w:lvlText w:val="%3."/>
      <w:lvlJc w:val="left"/>
      <w:pPr>
        <w:ind w:left="1007" w:hanging="188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1007" w:hanging="188"/>
      </w:pPr>
    </w:lvl>
    <w:lvl w:ilvl="4">
      <w:numFmt w:val="bullet"/>
      <w:lvlText w:val="•"/>
      <w:lvlJc w:val="left"/>
      <w:pPr>
        <w:ind w:left="2223" w:hanging="188"/>
      </w:pPr>
    </w:lvl>
    <w:lvl w:ilvl="5">
      <w:numFmt w:val="bullet"/>
      <w:lvlText w:val="•"/>
      <w:lvlJc w:val="left"/>
      <w:pPr>
        <w:ind w:left="3439" w:hanging="188"/>
      </w:pPr>
    </w:lvl>
    <w:lvl w:ilvl="6">
      <w:numFmt w:val="bullet"/>
      <w:lvlText w:val="•"/>
      <w:lvlJc w:val="left"/>
      <w:pPr>
        <w:ind w:left="4655" w:hanging="188"/>
      </w:pPr>
    </w:lvl>
    <w:lvl w:ilvl="7">
      <w:numFmt w:val="bullet"/>
      <w:lvlText w:val="•"/>
      <w:lvlJc w:val="left"/>
      <w:pPr>
        <w:ind w:left="5871" w:hanging="188"/>
      </w:pPr>
    </w:lvl>
    <w:lvl w:ilvl="8">
      <w:numFmt w:val="bullet"/>
      <w:lvlText w:val="•"/>
      <w:lvlJc w:val="left"/>
      <w:pPr>
        <w:ind w:left="7087" w:hanging="188"/>
      </w:pPr>
    </w:lvl>
  </w:abstractNum>
  <w:abstractNum w:abstractNumId="12" w15:restartNumberingAfterBreak="0">
    <w:nsid w:val="62470AA0"/>
    <w:multiLevelType w:val="multilevel"/>
    <w:tmpl w:val="963E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F0944"/>
    <w:multiLevelType w:val="hybridMultilevel"/>
    <w:tmpl w:val="4C9C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3142D"/>
    <w:multiLevelType w:val="hybridMultilevel"/>
    <w:tmpl w:val="C58CFD66"/>
    <w:lvl w:ilvl="0" w:tplc="34422D1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9"/>
  </w:num>
  <w:num w:numId="15">
    <w:abstractNumId w:val="1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89"/>
    <w:rsid w:val="00001D25"/>
    <w:rsid w:val="00013D42"/>
    <w:rsid w:val="00016987"/>
    <w:rsid w:val="00021574"/>
    <w:rsid w:val="000250D7"/>
    <w:rsid w:val="0002756D"/>
    <w:rsid w:val="00040359"/>
    <w:rsid w:val="00051A78"/>
    <w:rsid w:val="00053381"/>
    <w:rsid w:val="000613F5"/>
    <w:rsid w:val="00070012"/>
    <w:rsid w:val="00080DE1"/>
    <w:rsid w:val="00097675"/>
    <w:rsid w:val="000B0A01"/>
    <w:rsid w:val="000C2595"/>
    <w:rsid w:val="000C4572"/>
    <w:rsid w:val="000E2649"/>
    <w:rsid w:val="000F77F4"/>
    <w:rsid w:val="00107FEA"/>
    <w:rsid w:val="00144006"/>
    <w:rsid w:val="00152EEF"/>
    <w:rsid w:val="00161DAA"/>
    <w:rsid w:val="00180D7C"/>
    <w:rsid w:val="001D4B34"/>
    <w:rsid w:val="001D789B"/>
    <w:rsid w:val="00207606"/>
    <w:rsid w:val="00222788"/>
    <w:rsid w:val="002873C7"/>
    <w:rsid w:val="002A26DE"/>
    <w:rsid w:val="002B5CAB"/>
    <w:rsid w:val="002C2782"/>
    <w:rsid w:val="002D2B78"/>
    <w:rsid w:val="002E4699"/>
    <w:rsid w:val="002F037F"/>
    <w:rsid w:val="002F2A45"/>
    <w:rsid w:val="003029A6"/>
    <w:rsid w:val="003036E8"/>
    <w:rsid w:val="0031653F"/>
    <w:rsid w:val="00324926"/>
    <w:rsid w:val="0034040D"/>
    <w:rsid w:val="00345DD1"/>
    <w:rsid w:val="00366CB0"/>
    <w:rsid w:val="00376248"/>
    <w:rsid w:val="003B4B66"/>
    <w:rsid w:val="003B4E4D"/>
    <w:rsid w:val="003F0315"/>
    <w:rsid w:val="003F6205"/>
    <w:rsid w:val="00456A26"/>
    <w:rsid w:val="00464A59"/>
    <w:rsid w:val="0046742D"/>
    <w:rsid w:val="004751BE"/>
    <w:rsid w:val="004A484C"/>
    <w:rsid w:val="004C6E77"/>
    <w:rsid w:val="004D23BB"/>
    <w:rsid w:val="004E4C5D"/>
    <w:rsid w:val="00524493"/>
    <w:rsid w:val="00546C7B"/>
    <w:rsid w:val="00570F5E"/>
    <w:rsid w:val="0059091A"/>
    <w:rsid w:val="00595806"/>
    <w:rsid w:val="00596789"/>
    <w:rsid w:val="005D73F6"/>
    <w:rsid w:val="00612B0D"/>
    <w:rsid w:val="00616187"/>
    <w:rsid w:val="00664E79"/>
    <w:rsid w:val="006C337A"/>
    <w:rsid w:val="006C6665"/>
    <w:rsid w:val="006E5DC6"/>
    <w:rsid w:val="006F59EC"/>
    <w:rsid w:val="006F6A26"/>
    <w:rsid w:val="00740E96"/>
    <w:rsid w:val="007A4B44"/>
    <w:rsid w:val="007B4137"/>
    <w:rsid w:val="007D7B5B"/>
    <w:rsid w:val="007F2346"/>
    <w:rsid w:val="00802023"/>
    <w:rsid w:val="00826780"/>
    <w:rsid w:val="00827797"/>
    <w:rsid w:val="008354EE"/>
    <w:rsid w:val="00851E71"/>
    <w:rsid w:val="00877B36"/>
    <w:rsid w:val="00880FD9"/>
    <w:rsid w:val="008858F4"/>
    <w:rsid w:val="008C54B9"/>
    <w:rsid w:val="008C7E65"/>
    <w:rsid w:val="008D3D51"/>
    <w:rsid w:val="008D3E9C"/>
    <w:rsid w:val="008F04CF"/>
    <w:rsid w:val="0090345B"/>
    <w:rsid w:val="009060C7"/>
    <w:rsid w:val="0091048E"/>
    <w:rsid w:val="00913CD2"/>
    <w:rsid w:val="0093617D"/>
    <w:rsid w:val="00950B05"/>
    <w:rsid w:val="009520CD"/>
    <w:rsid w:val="00956460"/>
    <w:rsid w:val="009716D4"/>
    <w:rsid w:val="009A546F"/>
    <w:rsid w:val="009B0543"/>
    <w:rsid w:val="009B29C0"/>
    <w:rsid w:val="009B42DA"/>
    <w:rsid w:val="009C18D9"/>
    <w:rsid w:val="009C528C"/>
    <w:rsid w:val="009D174F"/>
    <w:rsid w:val="009D43EC"/>
    <w:rsid w:val="00A10CE4"/>
    <w:rsid w:val="00A1360A"/>
    <w:rsid w:val="00A30566"/>
    <w:rsid w:val="00A41696"/>
    <w:rsid w:val="00A557E1"/>
    <w:rsid w:val="00A57B54"/>
    <w:rsid w:val="00A65022"/>
    <w:rsid w:val="00A93577"/>
    <w:rsid w:val="00AB49EF"/>
    <w:rsid w:val="00AC307F"/>
    <w:rsid w:val="00AD7ABF"/>
    <w:rsid w:val="00AF5B27"/>
    <w:rsid w:val="00B02066"/>
    <w:rsid w:val="00B213FC"/>
    <w:rsid w:val="00B4007D"/>
    <w:rsid w:val="00B562D5"/>
    <w:rsid w:val="00B572AB"/>
    <w:rsid w:val="00B81024"/>
    <w:rsid w:val="00BA7644"/>
    <w:rsid w:val="00BB4DE6"/>
    <w:rsid w:val="00BC2F04"/>
    <w:rsid w:val="00C01E3D"/>
    <w:rsid w:val="00C20282"/>
    <w:rsid w:val="00C220E4"/>
    <w:rsid w:val="00C22BB4"/>
    <w:rsid w:val="00C24BA2"/>
    <w:rsid w:val="00C331A0"/>
    <w:rsid w:val="00C36307"/>
    <w:rsid w:val="00C420CC"/>
    <w:rsid w:val="00C86AA7"/>
    <w:rsid w:val="00CB4DC6"/>
    <w:rsid w:val="00CC5209"/>
    <w:rsid w:val="00CC5821"/>
    <w:rsid w:val="00CD58AB"/>
    <w:rsid w:val="00CF10D0"/>
    <w:rsid w:val="00D006CC"/>
    <w:rsid w:val="00D10649"/>
    <w:rsid w:val="00D44391"/>
    <w:rsid w:val="00D6647B"/>
    <w:rsid w:val="00D77BBE"/>
    <w:rsid w:val="00D945EA"/>
    <w:rsid w:val="00DA1083"/>
    <w:rsid w:val="00DA3BCA"/>
    <w:rsid w:val="00DA7868"/>
    <w:rsid w:val="00DB1DFC"/>
    <w:rsid w:val="00DC39DD"/>
    <w:rsid w:val="00DD758F"/>
    <w:rsid w:val="00DF67BC"/>
    <w:rsid w:val="00E02FC0"/>
    <w:rsid w:val="00E1560C"/>
    <w:rsid w:val="00E27890"/>
    <w:rsid w:val="00E27C64"/>
    <w:rsid w:val="00E37294"/>
    <w:rsid w:val="00E40E97"/>
    <w:rsid w:val="00E526DC"/>
    <w:rsid w:val="00E559E0"/>
    <w:rsid w:val="00E62553"/>
    <w:rsid w:val="00E645DC"/>
    <w:rsid w:val="00E70FC9"/>
    <w:rsid w:val="00E7685F"/>
    <w:rsid w:val="00E83226"/>
    <w:rsid w:val="00E951DF"/>
    <w:rsid w:val="00ED246A"/>
    <w:rsid w:val="00F06105"/>
    <w:rsid w:val="00F15074"/>
    <w:rsid w:val="00F169EF"/>
    <w:rsid w:val="00F223CC"/>
    <w:rsid w:val="00F24F03"/>
    <w:rsid w:val="00F56099"/>
    <w:rsid w:val="00F7676E"/>
    <w:rsid w:val="00F83686"/>
    <w:rsid w:val="00F91770"/>
    <w:rsid w:val="00FC5F63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C1652E4"/>
  <w15:docId w15:val="{89957DA9-706F-4443-AE23-C87C227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89"/>
    <w:pPr>
      <w:ind w:left="72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6789"/>
    <w:p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62553"/>
    <w:pPr>
      <w:autoSpaceDE w:val="0"/>
      <w:autoSpaceDN w:val="0"/>
      <w:adjustRightInd w:val="0"/>
      <w:ind w:left="72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2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F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2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FC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C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E02FC0"/>
  </w:style>
  <w:style w:type="character" w:styleId="Hyperlink">
    <w:name w:val="Hyperlink"/>
    <w:basedOn w:val="DefaultParagraphFont"/>
    <w:uiPriority w:val="99"/>
    <w:unhideWhenUsed/>
    <w:rsid w:val="00070012"/>
    <w:rPr>
      <w:color w:val="0000FF"/>
      <w:u w:val="single"/>
    </w:rPr>
  </w:style>
  <w:style w:type="table" w:styleId="TableGrid">
    <w:name w:val="Table Grid"/>
    <w:basedOn w:val="TableNormal"/>
    <w:uiPriority w:val="59"/>
    <w:rsid w:val="00A6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D789B"/>
    <w:pPr>
      <w:widowControl w:val="0"/>
      <w:autoSpaceDE w:val="0"/>
      <w:autoSpaceDN w:val="0"/>
      <w:adjustRightInd w:val="0"/>
      <w:ind w:lef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89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1D789B"/>
    <w:pPr>
      <w:widowControl w:val="0"/>
      <w:autoSpaceDE w:val="0"/>
      <w:autoSpaceDN w:val="0"/>
      <w:adjustRightInd w:val="0"/>
      <w:spacing w:before="197"/>
      <w:ind w:left="4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D789B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89B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1D78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789B"/>
    <w:pPr>
      <w:widowControl w:val="0"/>
      <w:autoSpaceDE w:val="0"/>
      <w:autoSpaceDN w:val="0"/>
      <w:adjustRightInd w:val="0"/>
      <w:ind w:left="0"/>
    </w:pPr>
  </w:style>
  <w:style w:type="character" w:styleId="CommentReference">
    <w:name w:val="annotation reference"/>
    <w:uiPriority w:val="99"/>
    <w:semiHidden/>
    <w:unhideWhenUsed/>
    <w:rsid w:val="001D789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2863</CharactersWithSpaces>
  <SharedDoc>false</SharedDoc>
  <HLinks>
    <vt:vector size="6" baseType="variant"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http://apps.leg.wa.gov/wac/default.aspx?cite=495c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Kerns, Maurie</cp:lastModifiedBy>
  <cp:revision>2</cp:revision>
  <cp:lastPrinted>2015-05-26T15:29:00Z</cp:lastPrinted>
  <dcterms:created xsi:type="dcterms:W3CDTF">2025-08-21T19:52:00Z</dcterms:created>
  <dcterms:modified xsi:type="dcterms:W3CDTF">2025-08-21T19:52:00Z</dcterms:modified>
</cp:coreProperties>
</file>